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EF" w:rsidRPr="006902EF" w:rsidRDefault="006902EF" w:rsidP="006902EF">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
      <w:r w:rsidRPr="006902EF">
        <w:rPr>
          <w:rFonts w:ascii="Times New Roman" w:eastAsia="Times New Roman" w:hAnsi="Times New Roman" w:cs="Times New Roman"/>
          <w:b/>
          <w:bCs/>
          <w:color w:val="000000"/>
          <w:sz w:val="24"/>
          <w:szCs w:val="24"/>
        </w:rPr>
        <w:t>PHỤ LỤC 1</w:t>
      </w:r>
      <w:bookmarkEnd w:id="0"/>
    </w:p>
    <w:p w:rsidR="006902EF" w:rsidRPr="006902EF" w:rsidRDefault="006902EF" w:rsidP="006902EF">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_name"/>
      <w:r w:rsidRPr="006902EF">
        <w:rPr>
          <w:rFonts w:ascii="Times New Roman" w:eastAsia="Times New Roman" w:hAnsi="Times New Roman" w:cs="Times New Roman"/>
          <w:color w:val="000000"/>
          <w:sz w:val="24"/>
          <w:szCs w:val="24"/>
        </w:rPr>
        <w:t>TIÊU CHUẨN XẾP HẠNG CƠ SỞ KHÁM BỆNH, CHỮA BỆNH</w:t>
      </w:r>
      <w:bookmarkEnd w:id="1"/>
      <w:r w:rsidRPr="006902EF">
        <w:rPr>
          <w:rFonts w:ascii="Times New Roman" w:eastAsia="Times New Roman" w:hAnsi="Times New Roman" w:cs="Times New Roman"/>
          <w:color w:val="000000"/>
          <w:sz w:val="24"/>
          <w:szCs w:val="24"/>
        </w:rPr>
        <w:br/>
      </w:r>
      <w:r w:rsidRPr="006902EF">
        <w:rPr>
          <w:rFonts w:ascii="Times New Roman" w:eastAsia="Times New Roman" w:hAnsi="Times New Roman" w:cs="Times New Roman"/>
          <w:i/>
          <w:iCs/>
          <w:color w:val="000000"/>
          <w:sz w:val="24"/>
          <w:szCs w:val="24"/>
        </w:rPr>
        <w:t>(Ban hành kèm Thông tư số 06/2024/TT-BYT ngày 16/5/2024 của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7026"/>
        <w:gridCol w:w="1615"/>
      </w:tblGrid>
      <w:tr w:rsidR="006902EF" w:rsidRPr="006902EF" w:rsidTr="006902E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I</w:t>
            </w:r>
          </w:p>
        </w:tc>
        <w:tc>
          <w:tcPr>
            <w:tcW w:w="3700" w:type="pct"/>
            <w:tcBorders>
              <w:top w:val="single" w:sz="8" w:space="0" w:color="auto"/>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Nhóm tiêu chuẩn I: Vị trí, chức năng, nhiệm vụ</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Vị trí chức năng, chỉ đạo kỹ thuật</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4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Phạm vi quốc gia, khu vực (vùng, miền)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Phạm vi tỉnh, thành phố trực thuộc Trung ương, ngành</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Phạm vi quận, huyện, thị xã, thành phố thuộc tỉnh, thành phố thuộc thành phố trực thuộc Trung ương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Đào tạo</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Tham gia, thực hiện đào tạo thực hành trình độ đại học và sau đại học lĩnh vực sức khỏe</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Tham gia, thực hiện đào tạo thực hành trình độ cao đẳng lĩnh vực sức khỏe</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Tham gia, thực hiện đào tạo bồi dưỡng, đào tạo liên tục</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Nghiên cứu khoa học</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Tham gia nhiệm vụ khoa học và công nghệ cấp Quốc gia</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Chủ trì nhiệm vụ khoa học và công nghệ hoặc sáng kiến cấp Bộ, Tỉnh, Thành phố trực thuộc Trung ương đã được cơ quan có thẩm quyền nghiệm thu và xếp loại đạt trở lên.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Chủ trì nhiệm vụ khoa học và công nghệ cấp Cơ sở đã được cơ quan có thẩm quyền nghiệm thu và xếp loại đạt trở lên.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II</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Nhóm tiêu chuẩn II: Quy mô và nội dung hoạt động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Điểm đánh giá chất lượng bệnh viện trung bình 2 năm liền kề năm đánh giá xếp hạng đơn vị</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6 điểm</w:t>
            </w:r>
          </w:p>
        </w:tc>
        <w:bookmarkStart w:id="2" w:name="_GoBack"/>
        <w:bookmarkEnd w:id="2"/>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Đạt từ 4,0 điểm trở lên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6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Đạt từ 3,2 điểm đến dưới 4,0</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Đạt từ 2,5 đến dưới 3,2 điểm</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lastRenderedPageBreak/>
              <w:t>1.4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Dưới 2,5 điểm</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Số giường được cấp có thẩm quyền giao</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4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Cơ sở khám bệnh, chữa bệnh đa khoa</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after="0" w:line="240" w:lineRule="auto"/>
              <w:rPr>
                <w:rFonts w:ascii="Times New Roman" w:eastAsia="Times New Roman" w:hAnsi="Times New Roman" w:cs="Times New Roman"/>
                <w:color w:val="000000"/>
                <w:sz w:val="24"/>
                <w:szCs w:val="24"/>
              </w:rPr>
            </w:pP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a)</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1000 giường trở lên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b)</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500 giường đến dưới 1000 giường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300 giường đến dưới 500 giường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Dưới 300 giường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Cơ sở khám bệnh, chữa bệnh chuyên khoa</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after="0" w:line="240" w:lineRule="auto"/>
              <w:rPr>
                <w:rFonts w:ascii="Times New Roman" w:eastAsia="Times New Roman" w:hAnsi="Times New Roman" w:cs="Times New Roman"/>
                <w:color w:val="000000"/>
                <w:sz w:val="24"/>
                <w:szCs w:val="24"/>
              </w:rPr>
            </w:pP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a)</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400 giường trở lên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b)</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300 giường đến dưới 400 giường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200 giường đến dưới 300 giường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Dưới 200 giường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Công suất sử dụng giường bệnh tính theo giường bệnh được cấp có thẩm quyền giao trung bình 2 năm liền kề năm đánh giá xếp hạng đơn vị</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Đạt từ 95%</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Đạt từ 80% đến dưới 95%</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Đạt từ 60% đến dưới 80%</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Dưới 60%</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Tỷ lệ người bệnh nội trú thuộc đối tượng chăm sóc cấp một trung bình 2 năm liền kề năm đánh giá xếp hạng đơn vị</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20% số người bệnh nội trú trở lên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15% đến dưới 20% số người bệnh nội trú</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10% đến dưới 15% số người bệnh nội trú</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Dưới 10% số người bệnh nội trú</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lastRenderedPageBreak/>
              <w:t>III</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Nhóm tiêu chuẩn III: Nhân lực</w:t>
            </w:r>
            <w:r w:rsidRPr="006902EF">
              <w:rPr>
                <w:rFonts w:ascii="Times New Roman" w:eastAsia="Times New Roman" w:hAnsi="Times New Roman" w:cs="Times New Roman"/>
                <w:color w:val="000000"/>
                <w:sz w:val="24"/>
                <w:szCs w:val="24"/>
              </w:rPr>
              <w:t> (số liệu tính tại thời điểm đề nghị xếp hạng)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20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Bảo đảm số lượng người làm việc tại các vị trí việc làm nhóm chức danh nghề nghiệp chuyên ngành y tế và liên quan chiếm tỷ lệ tối thiểu 65% tổng số lượng người làm việc của đơn vị</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Các trưởng khoa và phó trưởng khoa</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60% trở lên có trình độ tiến sĩ, chuyên khoa II</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40% đến dưới 60% có trình độ tiến sĩ, chuyên khoa II</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20% đến dưới 40% có trình độ tiến sĩ, chuyên khoa II</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Dưới 20% có trình độ tiến sĩ, chuyên khoa II</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Điều dưỡng trưởng, hộ sinh trưởng, kỹ thuật y trưởng các khoa lâm sàng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60% trở lên có trình độ sau đại học</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30% đến dưới 60% có trình độ sau đại học</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10% đến dưới 30% có trình độ sau đại học</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Dưới 10% có trình độ sau đại học</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Bác sĩ điều trị ở các khoa lâm sàng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7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50% trở lên có trình độ chuyên khoa I và tương đương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7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40% đến dưới 50% có trình độ chuyên khoa I và tương đương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Từ 20% đến dưới 40% có trình độ chuyên khoa I và tương đương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Dưới 20% có trình độ chuyên khoa I và tương đương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IV</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Nhóm tiêu chuẩn IV: Khả năng chuyên môn</w:t>
            </w:r>
            <w:r w:rsidRPr="006902EF">
              <w:rPr>
                <w:rFonts w:ascii="Times New Roman" w:eastAsia="Times New Roman" w:hAnsi="Times New Roman" w:cs="Times New Roman"/>
                <w:color w:val="000000"/>
                <w:sz w:val="24"/>
                <w:szCs w:val="24"/>
              </w:rPr>
              <w:t> (số liệu tính tại thời điểm đề nghị xếp hạng)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40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Các kỹ thuật chuyên khoa mà bệnh viện được phê duyệt thuộc phân loại phẫu thuật thủ thuật loại đặc biệt</w:t>
            </w:r>
            <w:r w:rsidRPr="006902EF">
              <w:rPr>
                <w:rFonts w:ascii="Times New Roman" w:eastAsia="Times New Roman" w:hAnsi="Times New Roman" w:cs="Times New Roman"/>
                <w:color w:val="000000"/>
                <w:sz w:val="24"/>
                <w:szCs w:val="24"/>
              </w:rPr>
              <w:t> (trừ danh mục bệnh viện không có chuyên khoa)</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 xml:space="preserve">Tỷ lệ các kỹ thuật chuyên khoa được phê duyệt thuộc phân loại phẫu thuật thủ thuật loại đặc biệt đạt từ 95% trở lên trên tổng số danh mục kỹ </w:t>
            </w:r>
            <w:r w:rsidRPr="006902EF">
              <w:rPr>
                <w:rFonts w:ascii="Times New Roman" w:eastAsia="Times New Roman" w:hAnsi="Times New Roman" w:cs="Times New Roman"/>
                <w:color w:val="000000"/>
                <w:sz w:val="24"/>
                <w:szCs w:val="24"/>
              </w:rPr>
              <w:lastRenderedPageBreak/>
              <w:t>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lastRenderedPageBreak/>
              <w:t>10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lastRenderedPageBreak/>
              <w:t>1.2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đặc biệt đạt ≥ 70% đến &lt; 95%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8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đặc biệt đạt ≥ 50% đến &lt; 70%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7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đặc biệt đạt &lt; 50%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6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Các kỹ thuật chuyên khoa mà bệnh viện được phê duyệt thuộc phân loại phẫu thuật thủ thuật loại I</w:t>
            </w:r>
            <w:r w:rsidRPr="006902EF">
              <w:rPr>
                <w:rFonts w:ascii="Times New Roman" w:eastAsia="Times New Roman" w:hAnsi="Times New Roman" w:cs="Times New Roman"/>
                <w:color w:val="000000"/>
                <w:sz w:val="24"/>
                <w:szCs w:val="24"/>
              </w:rPr>
              <w:t> (trừ danh mục bệnh viện không có chuyên khoa)</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 đạt từ 95% trở lên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 đạt ≥ 70% đến &lt; 95%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8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 đạt ≥ 50% đến &lt; 70%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7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 đạt &lt; 50%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6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Các kỹ thuật chuyên khoa mà bệnh viện được phê duyệt thuộc phân loại phẫu thuật thủ thuật loại II</w:t>
            </w:r>
            <w:r w:rsidRPr="006902EF">
              <w:rPr>
                <w:rFonts w:ascii="Times New Roman" w:eastAsia="Times New Roman" w:hAnsi="Times New Roman" w:cs="Times New Roman"/>
                <w:color w:val="000000"/>
                <w:sz w:val="24"/>
                <w:szCs w:val="24"/>
              </w:rPr>
              <w:t> (trừ danh mục bệnh viện không có chuyên khoa; trừ các kỹ thuật đã có phương pháp hiện đại thuộc phân loại phẫu thuật thủ thuật loại I và đặc biệt thay thế)</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II từ 95% trở lên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II đạt ≥ 70% đến &lt; 95%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8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lastRenderedPageBreak/>
              <w:t>3.3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II đạt ≥ 50% đến &lt; 70%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7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3.4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II đạt &lt; 50%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6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Các kỹ thuật chuyên khoa mà bệnh viện được phê duyệt thuộc phân loại phẫu thuật thủ thuật loại III</w:t>
            </w:r>
            <w:r w:rsidRPr="006902EF">
              <w:rPr>
                <w:rFonts w:ascii="Times New Roman" w:eastAsia="Times New Roman" w:hAnsi="Times New Roman" w:cs="Times New Roman"/>
                <w:color w:val="000000"/>
                <w:sz w:val="24"/>
                <w:szCs w:val="24"/>
              </w:rPr>
              <w:t> (trừ danh mục bệnh viện không có chuyên khoa; trừ các kỹ thuật đã có phương pháp hiện đại thuộc phân loại phẫu thuật thủ thuật loại I, II và đặc biệt thay thế)</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III đạt từ 95% trở lên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10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III đạt ≥ 70% đến &lt; 95%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8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III đạt ≥ 50% đến &lt; 70%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7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4.4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Tỷ lệ các kỹ thuật chuyên khoa được phê duyệt thuộc phân loại phẫu thuật thủ thuật loại III đạt &lt; 50% trên tổng số danh mục kỹ thuật của Bộ Y tế quy định cho chuyên khoa đó</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righ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6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V</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Nhóm tiêu chuẩn V: Cơ sở hạ tầng, thiết bị</w:t>
            </w:r>
            <w:r w:rsidRPr="006902EF">
              <w:rPr>
                <w:rFonts w:ascii="Times New Roman" w:eastAsia="Times New Roman" w:hAnsi="Times New Roman" w:cs="Times New Roman"/>
                <w:color w:val="000000"/>
                <w:sz w:val="24"/>
                <w:szCs w:val="24"/>
              </w:rPr>
              <w:t> (số liệu tính tại thời điểm đề nghị xếp hạng)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Cơ sở hạ tầng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after="0" w:line="240" w:lineRule="auto"/>
              <w:rPr>
                <w:rFonts w:ascii="Times New Roman" w:eastAsia="Times New Roman" w:hAnsi="Times New Roman" w:cs="Times New Roman"/>
                <w:color w:val="000000"/>
                <w:sz w:val="24"/>
                <w:szCs w:val="24"/>
              </w:rPr>
            </w:pP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Kiến trúc theo tiêu chuẩn xây dựng</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Có phân vị trí các khu vực chức năng đảm bảo dây chuyền hoạt động của cơ sở: Khu hành chính, các đơn vị chức năng (làm việc về hành chính); Khu kỹ thuật nghiệp vụ (xét nghiệm/kho chuyên dụng ...); Khu tiếp đón, dịch vụ (tiếp đón 1 cửa, cấp mẫu xét nghiệm, khám đa khoa, chuyên khoa, ...)</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Môi trường, cảnh quan xanh, sạch, đẹp, có bảng biển chỉ dẫn rõ ràng thuận tiện cho cá nhân, đơn vị đến liên hệ công tác, sử dụng dịch vụ</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 xml:space="preserve">Đường giao thông nội bộ bảo đảm thuận tiện cho cấp cứu vận chuyển người bệnh, phòng cháy chữa cháy, phân luồng giao thông rõ ràng mạch </w:t>
            </w:r>
            <w:r w:rsidRPr="006902EF">
              <w:rPr>
                <w:rFonts w:ascii="Times New Roman" w:eastAsia="Times New Roman" w:hAnsi="Times New Roman" w:cs="Times New Roman"/>
                <w:color w:val="000000"/>
                <w:sz w:val="24"/>
                <w:szCs w:val="24"/>
              </w:rPr>
              <w:lastRenderedPageBreak/>
              <w:t>lạc</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lastRenderedPageBreak/>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lastRenderedPageBreak/>
              <w:t>1.5</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Khu kỹ thuật (phòng mổ, hồi sức, phòng đẻ, phòng thực hiện các thủ thuật, kỹ thuật, phòng X-quang,...) đáp ứng các tiêu chuẩn hiện hành</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1.6</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Có hệ thống điện đảm bảo các tiêu chuẩn và công suất sử dụng (có hệ thống an toàn điện cho các thiết bị y tế, lộ cấp điện ưu tiên, máy phát điện dự phòng, hệ thống lưu điện)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1.7</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Có hệ thống xử lý chất thải rắn, lỏng, khí toàn bệnh viện đang hoạt động hoặc có hợp đồng xử lý chất thải rắn, lỏng, khí bảo đảm đủ tiêu chuẩn theo quy định</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1.8</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Ứng dụng công nghệ thông tin toàn bệnh viện phục vụ công tác chuyên môn, quản lý, thống kê để nâng cao hiệu quả công việc</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b/>
                <w:bCs/>
                <w:color w:val="000000"/>
                <w:sz w:val="24"/>
                <w:szCs w:val="24"/>
              </w:rPr>
              <w:t>Máy móc, thiết bị</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after="0" w:line="240" w:lineRule="auto"/>
              <w:rPr>
                <w:rFonts w:ascii="Times New Roman" w:eastAsia="Times New Roman" w:hAnsi="Times New Roman" w:cs="Times New Roman"/>
                <w:color w:val="000000"/>
                <w:sz w:val="24"/>
                <w:szCs w:val="24"/>
              </w:rPr>
            </w:pP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2.1</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Danh mục thiết bị y tế tại đơn vị đầy đủ, đáp ứng theo danh mục kỹ thuật được phê duyệt tại đơn vị</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2.2</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Máy móc, thiết bị chuyên dùng tại đơn vị phù hợp với quyết định phê duyệt tiêu chuẩn, định mức sử dụng máy móc, thiết bị chuyên dùng của cơ quan có thẩm quyền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2.3</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Tiện nghi khoa, buồng bệnh</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after="0" w:line="240" w:lineRule="auto"/>
              <w:rPr>
                <w:rFonts w:ascii="Times New Roman" w:eastAsia="Times New Roman" w:hAnsi="Times New Roman" w:cs="Times New Roman"/>
                <w:color w:val="000000"/>
                <w:sz w:val="24"/>
                <w:szCs w:val="24"/>
              </w:rPr>
            </w:pP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a)</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Bảo đảm điều kiện và an toàn, tiện nghi tại các khoa buồng bệnh</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b)</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Phòng phẫu thuật và ICU có hệ thống khí sạch đảm bảo tiêu chuẩn theo công năng sử dụng. Phòng hồi sức cấp cứu, phòng đẻ, phòng phẫu thuật có phương tiện gọi trực cấp cứu khẩn cấp</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2.4</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Công tác quản lý về thiết bị y tế</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after="0" w:line="240" w:lineRule="auto"/>
              <w:rPr>
                <w:rFonts w:ascii="Times New Roman" w:eastAsia="Times New Roman" w:hAnsi="Times New Roman" w:cs="Times New Roman"/>
                <w:color w:val="000000"/>
                <w:sz w:val="24"/>
                <w:szCs w:val="24"/>
              </w:rPr>
            </w:pP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a)</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Bệnh viện có bộ phận và nhân sự thực hiện nhiệm vụ quản lý về thiết bị y tế</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b)</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Có đầy đủ hồ sơ quản lý, theo dõi đối với thiết bị y tế tại đơn vị về: danh mục; sử dụng; kiểm tra; bảo dưỡng; sửa chữa; thay thế vật tư linh kiện; kiểm định, hiệu chuẩn</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Có quy chế quản lý, sử dụng, kiểm tra, bảo dưỡng, sửa chữa, bảo quản thiết bị y tế tại đơn vị</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d)</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Thực hiện kiểm kê định kỳ hàng năm về thiết bị y tế</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lastRenderedPageBreak/>
              <w:t>2.5</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Công tác bảo dưỡng, sửa chữa, kiểm định máy móc, thiết bị chuyên dùng tại đơn vị</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after="0" w:line="240" w:lineRule="auto"/>
              <w:rPr>
                <w:rFonts w:ascii="Times New Roman" w:eastAsia="Times New Roman" w:hAnsi="Times New Roman" w:cs="Times New Roman"/>
                <w:color w:val="000000"/>
                <w:sz w:val="24"/>
                <w:szCs w:val="24"/>
              </w:rPr>
            </w:pP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a)</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Có kế hoạch hàng năm và bố trí kinh phí về công tác bảo dưỡng, sửa chữa, kiểm định máy móc, thiết bị chuyên dùng trong toàn đơn vị</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0,5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b)</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Triển khai thực hiện công tác bảo dưỡng, sửa chữa, kiểm định máy móc, thiết bị chuyên dùng trong toàn đơn vị theo đúng kế hoạch đã phê duyệt</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1 điểm</w:t>
            </w:r>
          </w:p>
        </w:tc>
      </w:tr>
      <w:tr w:rsidR="006902EF" w:rsidRPr="006902EF" w:rsidTr="006902E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2.6</w:t>
            </w:r>
          </w:p>
        </w:tc>
        <w:tc>
          <w:tcPr>
            <w:tcW w:w="370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Có nhân sự thực hiện nhiệm vụ quản lý, thực hiện công tác chuyên môn kỹ thuật về thiết bị y tế được đào tạo liên tục, tập huấn, tham gia hội nghị, hội thảo lĩnh vực thiết bị y tế hàng năm</w:t>
            </w:r>
          </w:p>
        </w:tc>
        <w:tc>
          <w:tcPr>
            <w:tcW w:w="850" w:type="pct"/>
            <w:tcBorders>
              <w:top w:val="nil"/>
              <w:left w:val="nil"/>
              <w:bottom w:val="single" w:sz="8" w:space="0" w:color="auto"/>
              <w:right w:val="single" w:sz="8" w:space="0" w:color="auto"/>
            </w:tcBorders>
            <w:shd w:val="clear" w:color="auto" w:fill="FFFFFF"/>
            <w:vAlign w:val="center"/>
            <w:hideMark/>
          </w:tcPr>
          <w:p w:rsidR="006902EF" w:rsidRPr="006902EF" w:rsidRDefault="006902EF" w:rsidP="006902EF">
            <w:pPr>
              <w:spacing w:before="120" w:after="120" w:line="234" w:lineRule="atLeast"/>
              <w:jc w:val="center"/>
              <w:rPr>
                <w:rFonts w:ascii="Times New Roman" w:eastAsia="Times New Roman" w:hAnsi="Times New Roman" w:cs="Times New Roman"/>
                <w:color w:val="000000"/>
                <w:sz w:val="24"/>
                <w:szCs w:val="24"/>
              </w:rPr>
            </w:pPr>
            <w:r w:rsidRPr="006902EF">
              <w:rPr>
                <w:rFonts w:ascii="Times New Roman" w:eastAsia="Times New Roman" w:hAnsi="Times New Roman" w:cs="Times New Roman"/>
                <w:color w:val="000000"/>
                <w:sz w:val="24"/>
                <w:szCs w:val="24"/>
              </w:rPr>
              <w:t>0,5 điểm</w:t>
            </w:r>
          </w:p>
        </w:tc>
      </w:tr>
    </w:tbl>
    <w:p w:rsidR="00E9058F" w:rsidRPr="006902EF" w:rsidRDefault="00E9058F">
      <w:pPr>
        <w:rPr>
          <w:rFonts w:ascii="Times New Roman" w:hAnsi="Times New Roman" w:cs="Times New Roman"/>
          <w:sz w:val="24"/>
          <w:szCs w:val="24"/>
        </w:rPr>
      </w:pPr>
    </w:p>
    <w:sectPr w:rsidR="00E9058F" w:rsidRPr="00690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EF"/>
    <w:rsid w:val="00253B44"/>
    <w:rsid w:val="006902EF"/>
    <w:rsid w:val="00E9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2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2024-05-24T06:49:00Z</dcterms:created>
  <dcterms:modified xsi:type="dcterms:W3CDTF">2024-05-24T06:49:00Z</dcterms:modified>
</cp:coreProperties>
</file>