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80" w:rsidRPr="00ED6380" w:rsidRDefault="00ED6380" w:rsidP="00ED6380">
      <w:pPr>
        <w:pStyle w:val="NormalWeb"/>
        <w:spacing w:before="0" w:beforeAutospacing="0" w:after="0" w:afterAutospacing="0" w:line="234" w:lineRule="atLeast"/>
        <w:jc w:val="center"/>
        <w:rPr>
          <w:color w:val="000000"/>
        </w:rPr>
      </w:pPr>
      <w:bookmarkStart w:id="0" w:name="chuong_pl_4"/>
      <w:r w:rsidRPr="00ED6380">
        <w:rPr>
          <w:rStyle w:val="Strong"/>
          <w:color w:val="000000"/>
        </w:rPr>
        <w:t>PHỤ LỤC IV</w:t>
      </w:r>
      <w:bookmarkEnd w:id="0"/>
    </w:p>
    <w:p w:rsidR="00ED6380" w:rsidRPr="00ED6380" w:rsidRDefault="00ED6380" w:rsidP="00ED6380">
      <w:pPr>
        <w:pStyle w:val="NormalWeb"/>
        <w:spacing w:before="0" w:beforeAutospacing="0" w:after="0" w:afterAutospacing="0" w:line="234" w:lineRule="atLeast"/>
        <w:jc w:val="center"/>
        <w:rPr>
          <w:color w:val="000000"/>
        </w:rPr>
      </w:pPr>
      <w:bookmarkStart w:id="1" w:name="chuong_pl_4_name"/>
      <w:r w:rsidRPr="00ED6380">
        <w:rPr>
          <w:rStyle w:val="Strong"/>
          <w:b w:val="0"/>
          <w:bCs w:val="0"/>
          <w:color w:val="000000"/>
        </w:rPr>
        <w:t>DANH MỤC CƠ SỞ DO ỦY BAN NHÂN DÂN CẤP XÃ QUẢN LÝ</w:t>
      </w:r>
      <w:bookmarkEnd w:id="1"/>
      <w:r w:rsidRPr="00ED6380">
        <w:rPr>
          <w:b/>
          <w:bCs/>
          <w:color w:val="000000"/>
        </w:rPr>
        <w:br/>
      </w:r>
      <w:r w:rsidRPr="00ED6380">
        <w:rPr>
          <w:i/>
          <w:iCs/>
          <w:color w:val="000000"/>
        </w:rPr>
        <w:t>(Kèm theo Nghị định số 50/2024/NĐ-CP ngày 10 tháng 5 năm 2024 của Chính phủ)</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 Trụ sở cơ quan nhà nước cấp xã.</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2. Nhà chung cư cao dưới 5 tầng và có tổng khối tích dưới 5.000 m</w:t>
      </w:r>
      <w:r w:rsidRPr="00ED6380">
        <w:rPr>
          <w:color w:val="000000"/>
          <w:vertAlign w:val="superscript"/>
        </w:rPr>
        <w:t>3</w:t>
      </w:r>
      <w:r w:rsidRPr="00ED6380">
        <w:rPr>
          <w:color w:val="000000"/>
        </w:rPr>
        <w:t>; nhà tập thể, nhà ở ký túc xá cao dưới 5 tầng và có tổng khối tích dưới 2.500 m</w:t>
      </w:r>
      <w:r w:rsidRPr="00ED6380">
        <w:rPr>
          <w:color w:val="000000"/>
          <w:vertAlign w:val="superscript"/>
        </w:rPr>
        <w:t>3</w:t>
      </w:r>
      <w:r w:rsidRPr="00ED6380">
        <w:rPr>
          <w:color w:val="000000"/>
        </w:rPr>
        <w:t>; nhà hỗn hợp cao dưới 5 tầng và có tổng khối tích dưới 1.500 m</w:t>
      </w:r>
      <w:r w:rsidRPr="00ED6380">
        <w:rPr>
          <w:color w:val="000000"/>
          <w:vertAlign w:val="superscript"/>
        </w:rPr>
        <w:t>3</w:t>
      </w:r>
      <w:r w:rsidRPr="00ED6380">
        <w:rPr>
          <w:color w:val="000000"/>
        </w:rPr>
        <w:t>.</w:t>
      </w:r>
    </w:p>
    <w:p w:rsidR="00ED6380" w:rsidRPr="00ED6380" w:rsidRDefault="00ED6380" w:rsidP="00ED6380">
      <w:pPr>
        <w:pStyle w:val="NormalWeb"/>
        <w:spacing w:before="0" w:beforeAutospacing="0" w:after="0" w:afterAutospacing="0" w:line="234" w:lineRule="atLeast"/>
        <w:rPr>
          <w:color w:val="000000"/>
        </w:rPr>
      </w:pPr>
      <w:r w:rsidRPr="00ED6380">
        <w:rPr>
          <w:color w:val="000000"/>
        </w:rPr>
        <w:t>3. Nhà trẻ, trường mẫu giáo, mầm non có dưới 100 cháu và có tổng khối tích các khối nhà học tập, phục vụ học tập dưới 1.000 m</w:t>
      </w:r>
      <w:r w:rsidRPr="00ED6380">
        <w:rPr>
          <w:color w:val="000000"/>
          <w:vertAlign w:val="superscript"/>
        </w:rPr>
        <w:t>3</w:t>
      </w:r>
      <w:r w:rsidRPr="00ED6380">
        <w:rPr>
          <w:color w:val="000000"/>
        </w:rPr>
        <w:t>; trường tiểu học, trung học cơ sở có tổng khối tích các khối nhà học tập, phục vụ học tập dưới 2.000 m</w:t>
      </w:r>
      <w:r w:rsidRPr="00ED6380">
        <w:rPr>
          <w:color w:val="000000"/>
          <w:vertAlign w:val="superscript"/>
        </w:rPr>
        <w:t>3</w:t>
      </w:r>
      <w:r w:rsidRPr="00ED6380">
        <w:rPr>
          <w:color w:val="000000"/>
        </w:rPr>
        <w:t>; cơ sở giáo dục khác được thành lập theo </w:t>
      </w:r>
      <w:bookmarkStart w:id="2" w:name="tvpllink_fdanjboppw_3"/>
      <w:r w:rsidRPr="00ED6380">
        <w:rPr>
          <w:color w:val="000000"/>
        </w:rPr>
        <w:fldChar w:fldCharType="begin"/>
      </w:r>
      <w:r w:rsidRPr="00ED6380">
        <w:rPr>
          <w:color w:val="000000"/>
        </w:rPr>
        <w:instrText xml:space="preserve"> HYPERLINK "https://thuvienphapluat.vn/van-ban/Giao-duc/Luat-giao-duc-2019-367665.aspx" \t "_blank" </w:instrText>
      </w:r>
      <w:r w:rsidRPr="00ED6380">
        <w:rPr>
          <w:color w:val="000000"/>
        </w:rPr>
        <w:fldChar w:fldCharType="separate"/>
      </w:r>
      <w:r w:rsidRPr="00ED6380">
        <w:rPr>
          <w:rStyle w:val="Hyperlink"/>
          <w:color w:val="0E70C3"/>
          <w:u w:val="none"/>
        </w:rPr>
        <w:t>Luật Giáo dục</w:t>
      </w:r>
      <w:r w:rsidRPr="00ED6380">
        <w:rPr>
          <w:color w:val="000000"/>
        </w:rPr>
        <w:fldChar w:fldCharType="end"/>
      </w:r>
      <w:bookmarkEnd w:id="2"/>
      <w:r w:rsidRPr="00ED6380">
        <w:rPr>
          <w:color w:val="000000"/>
        </w:rPr>
        <w:t> có tổng khối tích các khối nhà học tập, phục vụ học tập dưới 1.000 m</w:t>
      </w:r>
      <w:r w:rsidRPr="00ED6380">
        <w:rPr>
          <w:color w:val="000000"/>
          <w:vertAlign w:val="superscript"/>
        </w:rPr>
        <w:t>3</w:t>
      </w:r>
      <w:r w:rsidRPr="00ED6380">
        <w:rPr>
          <w:color w:val="000000"/>
        </w:rPr>
        <w:t>.</w:t>
      </w:r>
    </w:p>
    <w:p w:rsidR="00ED6380" w:rsidRPr="00ED6380" w:rsidRDefault="00ED6380" w:rsidP="00ED6380">
      <w:pPr>
        <w:pStyle w:val="NormalWeb"/>
        <w:spacing w:before="0" w:beforeAutospacing="0" w:after="0" w:afterAutospacing="0" w:line="234" w:lineRule="atLeast"/>
        <w:rPr>
          <w:color w:val="000000"/>
        </w:rPr>
      </w:pPr>
      <w:r w:rsidRPr="00ED6380">
        <w:rPr>
          <w:color w:val="000000"/>
        </w:rPr>
        <w:t>4. Phòng khám đa khoa, khám chuyên khoa, nhà điều dưỡng, phục hồi chức năng, chỉnh hình, nhà dưỡng lão, cơ sở phòng chống dịch bệnh, trung tâm y tế, cơ sở y tế khác được thành lập theo </w:t>
      </w:r>
      <w:bookmarkStart w:id="3" w:name="tvpllink_bdcahznirl_3"/>
      <w:r w:rsidRPr="00ED6380">
        <w:rPr>
          <w:color w:val="000000"/>
        </w:rPr>
        <w:fldChar w:fldCharType="begin"/>
      </w:r>
      <w:r w:rsidRPr="00ED6380">
        <w:rPr>
          <w:color w:val="000000"/>
        </w:rPr>
        <w:instrText xml:space="preserve"> HYPERLINK "https://thuvienphapluat.vn/van-ban/The-thao-Y-te/Luat-15-2023-QH15-kham-benh-chua-benh-372143.aspx" \t "_blank" </w:instrText>
      </w:r>
      <w:r w:rsidRPr="00ED6380">
        <w:rPr>
          <w:color w:val="000000"/>
        </w:rPr>
        <w:fldChar w:fldCharType="separate"/>
      </w:r>
      <w:r w:rsidRPr="00ED6380">
        <w:rPr>
          <w:rStyle w:val="Hyperlink"/>
          <w:color w:val="0E70C3"/>
          <w:u w:val="none"/>
        </w:rPr>
        <w:t>Luật Khám bệnh, chữa bệnh</w:t>
      </w:r>
      <w:r w:rsidRPr="00ED6380">
        <w:rPr>
          <w:color w:val="000000"/>
        </w:rPr>
        <w:fldChar w:fldCharType="end"/>
      </w:r>
      <w:bookmarkEnd w:id="3"/>
      <w:r w:rsidRPr="00ED6380">
        <w:rPr>
          <w:color w:val="000000"/>
        </w:rPr>
        <w:t> cao dưới 3 tầng và có tổng khối tích dưới 1.000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5. Trung tâm hội nghị, tổ chức sự kiện, nhà văn hóa cao dưới 3 tầng và có tổng khối tích của các nhà tổ chức hội nghị, sự kiện, văn hóa dưới 1.500 m</w:t>
      </w:r>
      <w:r w:rsidRPr="00ED6380">
        <w:rPr>
          <w:color w:val="000000"/>
          <w:vertAlign w:val="superscript"/>
        </w:rPr>
        <w:t>3</w:t>
      </w:r>
      <w:r w:rsidRPr="00ED6380">
        <w:rPr>
          <w:color w:val="000000"/>
        </w:rPr>
        <w:t>; cơ sở kinh doanh dịch vụ karaoke, vũ trường, quán bar, câu lạc bộ cao dưới 3 tầng hoặc có tổng khối tích các khối nhà phục vụ kinh doanh dưới 1.000 m</w:t>
      </w:r>
      <w:r w:rsidRPr="00ED6380">
        <w:rPr>
          <w:color w:val="000000"/>
          <w:vertAlign w:val="superscript"/>
        </w:rPr>
        <w:t>3</w:t>
      </w:r>
      <w:r w:rsidRPr="00ED6380">
        <w:rPr>
          <w:color w:val="000000"/>
        </w:rPr>
        <w:t>; công viên giải trí, vườn thú, thủy cung có khối tích dưới 1.500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6. Chợ hạng 3; trung tâm thương mại, điện máy, siêu thị, cơ sở kinh doanh dịch vụ ăn uống, cơ sở kinh doanh hàng hóa dễ cháy, nổ có tổng diện tích kinh doanh dưới 300 m</w:t>
      </w:r>
      <w:r w:rsidRPr="00ED6380">
        <w:rPr>
          <w:color w:val="000000"/>
          <w:vertAlign w:val="superscript"/>
        </w:rPr>
        <w:t>2</w:t>
      </w:r>
      <w:r w:rsidRPr="00ED6380">
        <w:rPr>
          <w:color w:val="000000"/>
        </w:rPr>
        <w:t> và có tổng khối tích các nhà phục vụ kinh doanh dưới 1.000 m</w:t>
      </w:r>
      <w:r w:rsidRPr="00ED6380">
        <w:rPr>
          <w:color w:val="000000"/>
          <w:vertAlign w:val="superscript"/>
        </w:rPr>
        <w:t>3</w:t>
      </w:r>
      <w:r w:rsidRPr="00ED6380">
        <w:rPr>
          <w:color w:val="000000"/>
        </w:rPr>
        <w:t>.</w:t>
      </w:r>
    </w:p>
    <w:p w:rsidR="00ED6380" w:rsidRPr="00ED6380" w:rsidRDefault="00ED6380" w:rsidP="00ED6380">
      <w:pPr>
        <w:pStyle w:val="NormalWeb"/>
        <w:spacing w:before="0" w:beforeAutospacing="0" w:after="0" w:afterAutospacing="0" w:line="234" w:lineRule="atLeast"/>
        <w:rPr>
          <w:color w:val="000000"/>
        </w:rPr>
      </w:pPr>
      <w:r w:rsidRPr="00ED6380">
        <w:rPr>
          <w:color w:val="000000"/>
        </w:rPr>
        <w:t>7. Khách sạn, nhà khách, nhà nghỉ, cơ sở lưu trú khác được thành lập theo </w:t>
      </w:r>
      <w:bookmarkStart w:id="4" w:name="tvpllink_gwjshhbwvy_3"/>
      <w:r w:rsidRPr="00ED6380">
        <w:rPr>
          <w:color w:val="000000"/>
        </w:rPr>
        <w:fldChar w:fldCharType="begin"/>
      </w:r>
      <w:r w:rsidRPr="00ED6380">
        <w:rPr>
          <w:color w:val="000000"/>
        </w:rPr>
        <w:instrText xml:space="preserve"> HYPERLINK "https://thuvienphapluat.vn/van-ban/Van-hoa-Xa-hoi/Luat-du-lich-2017-322936.aspx" \t "_blank" </w:instrText>
      </w:r>
      <w:r w:rsidRPr="00ED6380">
        <w:rPr>
          <w:color w:val="000000"/>
        </w:rPr>
        <w:fldChar w:fldCharType="separate"/>
      </w:r>
      <w:r w:rsidRPr="00ED6380">
        <w:rPr>
          <w:rStyle w:val="Hyperlink"/>
          <w:color w:val="0E70C3"/>
          <w:u w:val="none"/>
        </w:rPr>
        <w:t>Luật Du lịch</w:t>
      </w:r>
      <w:r w:rsidRPr="00ED6380">
        <w:rPr>
          <w:color w:val="000000"/>
        </w:rPr>
        <w:fldChar w:fldCharType="end"/>
      </w:r>
      <w:bookmarkEnd w:id="4"/>
      <w:r w:rsidRPr="00ED6380">
        <w:rPr>
          <w:color w:val="000000"/>
        </w:rPr>
        <w:t>, nhà trọ cao dưới 5 tầng và có tổng khối tích của các khối nhà phục vụ lưu trú dưới 2.500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8. Nhà sử dụng làm trụ sở, văn phòng làm việc của doanh nghiệp, tổ chức chính trị, xã hội cao</w:t>
      </w:r>
      <w:bookmarkStart w:id="5" w:name="_GoBack"/>
      <w:bookmarkEnd w:id="5"/>
      <w:r w:rsidRPr="00ED6380">
        <w:rPr>
          <w:color w:val="000000"/>
        </w:rPr>
        <w:t xml:space="preserve"> dưới 5 tầng và có khối tích dưới 1.500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9. Bảo tàng, thư viện, nhà triển lãm, nhà trưng bày, nhà lưu trữ, nhà sách, nhà hội chợ có khối tích dưới 1.500 m</w:t>
      </w:r>
      <w:r w:rsidRPr="00ED6380">
        <w:rPr>
          <w:color w:val="000000"/>
          <w:vertAlign w:val="superscript"/>
        </w:rPr>
        <w:t>3</w:t>
      </w:r>
      <w:r w:rsidRPr="00ED6380">
        <w:rPr>
          <w:color w:val="000000"/>
        </w:rPr>
        <w:t>; cơ sở tôn giáo có khối tích dưới 5.000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10. Nhà của điểm phục vụ bưu chính, cơ sở khai thác bưu gửi, cơ sở viễn thông cao dưới 3 tầng và có tổng khối tích các khối nhà dưới 1.500 m</w:t>
      </w:r>
      <w:r w:rsidRPr="00ED6380">
        <w:rPr>
          <w:color w:val="000000"/>
          <w:vertAlign w:val="superscript"/>
        </w:rPr>
        <w:t>3</w:t>
      </w:r>
      <w:r w:rsidRPr="00ED6380">
        <w:rPr>
          <w:color w:val="000000"/>
        </w:rPr>
        <w:t>; trung tâm lưu trữ, quản lý dữ liệu, cơ sở phát thanh, truyền hình, cơ sở hoạt động xuất bản, in ấn có tổng khối tích các khối nhà dưới 1.000 m</w:t>
      </w:r>
      <w:r w:rsidRPr="00ED6380">
        <w:rPr>
          <w:color w:val="000000"/>
          <w:vertAlign w:val="superscript"/>
        </w:rPr>
        <w:t>3</w:t>
      </w:r>
      <w:r w:rsidRPr="00ED6380">
        <w:rPr>
          <w:color w:val="000000"/>
        </w:rPr>
        <w:t>.</w:t>
      </w:r>
    </w:p>
    <w:p w:rsidR="00ED6380" w:rsidRPr="00ED6380" w:rsidRDefault="00ED6380" w:rsidP="00ED6380">
      <w:pPr>
        <w:pStyle w:val="NormalWeb"/>
        <w:spacing w:before="0" w:beforeAutospacing="0" w:after="0" w:afterAutospacing="0" w:line="234" w:lineRule="atLeast"/>
        <w:rPr>
          <w:color w:val="000000"/>
        </w:rPr>
      </w:pPr>
      <w:r w:rsidRPr="00ED6380">
        <w:rPr>
          <w:color w:val="000000"/>
        </w:rPr>
        <w:t>11. Cơ sở thể thao được thành lập theo </w:t>
      </w:r>
      <w:bookmarkStart w:id="6" w:name="tvpllink_utbkdjrmjy_3"/>
      <w:r w:rsidRPr="00ED6380">
        <w:rPr>
          <w:color w:val="000000"/>
        </w:rPr>
        <w:fldChar w:fldCharType="begin"/>
      </w:r>
      <w:r w:rsidRPr="00ED6380">
        <w:rPr>
          <w:color w:val="000000"/>
        </w:rPr>
        <w:instrText xml:space="preserve"> HYPERLINK "https://thuvienphapluat.vn/van-ban/The-thao-Y-te/Luat-The-duc-The-thao-2006-77-2006-QH11-15870.aspx" \t "_blank" </w:instrText>
      </w:r>
      <w:r w:rsidRPr="00ED6380">
        <w:rPr>
          <w:color w:val="000000"/>
        </w:rPr>
        <w:fldChar w:fldCharType="separate"/>
      </w:r>
      <w:r w:rsidRPr="00ED6380">
        <w:rPr>
          <w:rStyle w:val="Hyperlink"/>
          <w:color w:val="0E70C3"/>
          <w:u w:val="none"/>
        </w:rPr>
        <w:t>Luật Thể dục, thể thao</w:t>
      </w:r>
      <w:r w:rsidRPr="00ED6380">
        <w:rPr>
          <w:color w:val="000000"/>
        </w:rPr>
        <w:fldChar w:fldCharType="end"/>
      </w:r>
      <w:bookmarkEnd w:id="6"/>
      <w:r w:rsidRPr="00ED6380">
        <w:rPr>
          <w:color w:val="000000"/>
        </w:rPr>
        <w:t> có khối tích dưới 1.500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12. Cơ sở kinh doanh, sửa chữa, bảo dưỡng phương tiện giao thông cơ giới có diện tích kinh doanh dưới 300 m</w:t>
      </w:r>
      <w:r w:rsidRPr="00ED6380">
        <w:rPr>
          <w:color w:val="000000"/>
          <w:vertAlign w:val="superscript"/>
        </w:rPr>
        <w:t>2</w:t>
      </w:r>
      <w:r w:rsidRPr="00ED6380">
        <w:rPr>
          <w:color w:val="000000"/>
        </w:rPr>
        <w:t> và có tổng khối tích các nhà dưới 1.500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13. Gara để xe có sức chứa dưới 10 xe ô tô; bãi đỗ xe được thành lập theo quy định của pháp luật.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14. Cửa hàng kinh doanh chất lỏng dễ cháy, cửa hàng kinh doanh khí đốt có tổng lượng khí tồn chứa dưới 150 kg.</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15. Cơ sở công nghiệp có hạng nguy hiểm cháy, nổ C có tổng khối tích của các khối nhà có dây chuyền công nghệ sản xuất dưới 2.500 m</w:t>
      </w:r>
      <w:r w:rsidRPr="00ED6380">
        <w:rPr>
          <w:color w:val="000000"/>
          <w:vertAlign w:val="superscript"/>
        </w:rPr>
        <w:t>3</w:t>
      </w:r>
      <w:r w:rsidRPr="00ED6380">
        <w:rPr>
          <w:color w:val="000000"/>
        </w:rPr>
        <w:t>; hạng nguy hiểm cháy, nổ D, E có tổng khối tích của các khối nhà có dây chuyền công nghệ sản xuất dưới 5.000 m</w:t>
      </w:r>
      <w:r w:rsidRPr="00ED6380">
        <w:rPr>
          <w:color w:val="000000"/>
          <w:vertAlign w:val="superscript"/>
        </w:rPr>
        <w:t>3</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lastRenderedPageBreak/>
        <w:t>16. Kho hàng hóa, vật tư cháy được có tổng khối tích dưới 1.500 m</w:t>
      </w:r>
      <w:r w:rsidRPr="00ED6380">
        <w:rPr>
          <w:color w:val="000000"/>
          <w:vertAlign w:val="superscript"/>
        </w:rPr>
        <w:t>3</w:t>
      </w:r>
      <w:r w:rsidRPr="00ED6380">
        <w:rPr>
          <w:color w:val="000000"/>
        </w:rPr>
        <w:t>; bãi chứa hàng hóa, vật tư, phế liệu cháy được dưới 1.000 m</w:t>
      </w:r>
      <w:r w:rsidRPr="00ED6380">
        <w:rPr>
          <w:color w:val="000000"/>
          <w:vertAlign w:val="superscript"/>
        </w:rPr>
        <w:t>2</w:t>
      </w:r>
      <w:r w:rsidRPr="00ED6380">
        <w:rPr>
          <w:color w:val="000000"/>
        </w:rPr>
        <w:t>.</w:t>
      </w:r>
    </w:p>
    <w:p w:rsidR="00ED6380" w:rsidRPr="00ED6380" w:rsidRDefault="00ED6380" w:rsidP="00ED6380">
      <w:pPr>
        <w:pStyle w:val="NormalWeb"/>
        <w:spacing w:before="120" w:beforeAutospacing="0" w:after="0" w:afterAutospacing="0" w:line="234" w:lineRule="atLeast"/>
        <w:rPr>
          <w:color w:val="000000"/>
        </w:rPr>
      </w:pPr>
      <w:r w:rsidRPr="00ED6380">
        <w:rPr>
          <w:color w:val="000000"/>
        </w:rPr>
        <w:t>17. Nhà để ở kết hợp sản xuất, kinh doanh hàng hóa dễ cháy, nổ có diện tích sàn dành cho mục đích sản xuất, kinh doanh có diện tích dưới 300 m</w:t>
      </w:r>
      <w:r w:rsidRPr="00ED6380">
        <w:rPr>
          <w:color w:val="000000"/>
          <w:vertAlign w:val="superscript"/>
        </w:rPr>
        <w:t>2</w:t>
      </w:r>
      <w:r w:rsidRPr="00ED6380">
        <w:rPr>
          <w:color w:val="000000"/>
        </w:rPr>
        <w:t>.</w:t>
      </w:r>
    </w:p>
    <w:p w:rsidR="007C4750" w:rsidRPr="00ED6380" w:rsidRDefault="007C4750">
      <w:pPr>
        <w:rPr>
          <w:rFonts w:ascii="Times New Roman" w:hAnsi="Times New Roman" w:cs="Times New Roman"/>
          <w:sz w:val="24"/>
          <w:szCs w:val="24"/>
        </w:rPr>
      </w:pPr>
    </w:p>
    <w:sectPr w:rsidR="007C4750" w:rsidRPr="00ED63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80"/>
    <w:rsid w:val="00283BBE"/>
    <w:rsid w:val="002E0EC3"/>
    <w:rsid w:val="00426F11"/>
    <w:rsid w:val="007C4750"/>
    <w:rsid w:val="00ED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E1179-1E9A-4AE6-98E7-EDA2660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380"/>
    <w:rPr>
      <w:b/>
      <w:bCs/>
    </w:rPr>
  </w:style>
  <w:style w:type="character" w:styleId="Hyperlink">
    <w:name w:val="Hyperlink"/>
    <w:basedOn w:val="DefaultParagraphFont"/>
    <w:uiPriority w:val="99"/>
    <w:semiHidden/>
    <w:unhideWhenUsed/>
    <w:rsid w:val="00ED6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2024-05-31T00:41:00Z</dcterms:created>
  <dcterms:modified xsi:type="dcterms:W3CDTF">2024-05-31T00:42:00Z</dcterms:modified>
</cp:coreProperties>
</file>