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1A" w:rsidRPr="0044371A" w:rsidRDefault="0044371A" w:rsidP="0044371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2"/>
      <w:r w:rsidRPr="0044371A">
        <w:rPr>
          <w:rFonts w:ascii="Times New Roman" w:eastAsia="Times New Roman" w:hAnsi="Times New Roman" w:cs="Times New Roman"/>
          <w:b/>
          <w:bCs/>
          <w:color w:val="000000"/>
          <w:sz w:val="26"/>
          <w:szCs w:val="26"/>
          <w:lang w:val="vi-VN"/>
        </w:rPr>
        <w:t>DANH MỤC</w:t>
      </w:r>
      <w:bookmarkEnd w:id="0"/>
    </w:p>
    <w:p w:rsidR="0044371A" w:rsidRPr="0044371A" w:rsidRDefault="0044371A" w:rsidP="0044371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2_name"/>
      <w:bookmarkStart w:id="2" w:name="_GoBack"/>
      <w:r w:rsidRPr="0044371A">
        <w:rPr>
          <w:rFonts w:ascii="Times New Roman" w:eastAsia="Times New Roman" w:hAnsi="Times New Roman" w:cs="Times New Roman"/>
          <w:color w:val="000000"/>
          <w:sz w:val="26"/>
          <w:szCs w:val="26"/>
          <w:lang w:val="vi-VN"/>
        </w:rPr>
        <w:t>DỊCH VỤ CÔNG TRỰC TUYẾN ƯU TIÊN TÍCH HỢP, CUNG CẤP TRÊN CỔNG DỊCH VỤ CÔNG QUỐC GIA NĂM 2020</w:t>
      </w:r>
      <w:bookmarkEnd w:id="1"/>
      <w:r w:rsidRPr="0044371A">
        <w:rPr>
          <w:rFonts w:ascii="Times New Roman" w:eastAsia="Times New Roman" w:hAnsi="Times New Roman" w:cs="Times New Roman"/>
          <w:color w:val="000000"/>
          <w:sz w:val="26"/>
          <w:szCs w:val="26"/>
          <w:lang w:val="vi-VN"/>
        </w:rPr>
        <w:br/>
      </w:r>
      <w:bookmarkEnd w:id="2"/>
      <w:r w:rsidRPr="0044371A">
        <w:rPr>
          <w:rFonts w:ascii="Times New Roman" w:eastAsia="Times New Roman" w:hAnsi="Times New Roman" w:cs="Times New Roman"/>
          <w:i/>
          <w:iCs/>
          <w:color w:val="000000"/>
          <w:sz w:val="26"/>
          <w:szCs w:val="26"/>
          <w:lang w:val="vi-VN"/>
        </w:rPr>
        <w:t>(kèm theo Quyết định số 411/QĐ-TTg ngày 24 tháng 03 năm 2020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4016"/>
        <w:gridCol w:w="1775"/>
        <w:gridCol w:w="1588"/>
        <w:gridCol w:w="1308"/>
      </w:tblGrid>
      <w:tr w:rsidR="0044371A" w:rsidRPr="0044371A" w:rsidTr="0044371A">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TT</w:t>
            </w:r>
          </w:p>
        </w:tc>
        <w:tc>
          <w:tcPr>
            <w:tcW w:w="2150" w:type="pct"/>
            <w:vMerge w:val="restart"/>
            <w:tcBorders>
              <w:top w:val="single" w:sz="8" w:space="0" w:color="auto"/>
              <w:left w:val="single" w:sz="8" w:space="0" w:color="auto"/>
              <w:bottom w:val="nil"/>
              <w:right w:val="nil"/>
            </w:tcBorders>
            <w:shd w:val="clear" w:color="auto" w:fill="auto"/>
            <w:vAlign w:val="center"/>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Tên dịch vụ công/TTHC</w:t>
            </w:r>
          </w:p>
        </w:tc>
        <w:tc>
          <w:tcPr>
            <w:tcW w:w="1800" w:type="pct"/>
            <w:gridSpan w:val="2"/>
            <w:tcBorders>
              <w:top w:val="single" w:sz="8" w:space="0" w:color="auto"/>
              <w:left w:val="single" w:sz="8" w:space="0" w:color="auto"/>
              <w:bottom w:val="nil"/>
              <w:right w:val="nil"/>
            </w:tcBorders>
            <w:shd w:val="clear" w:color="auto" w:fill="auto"/>
            <w:vAlign w:val="center"/>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Cơ quan thực hiện</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Thời hạn hoàn thành</w:t>
            </w:r>
          </w:p>
        </w:tc>
      </w:tr>
      <w:tr w:rsidR="0044371A" w:rsidRPr="0044371A" w:rsidTr="004437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4371A" w:rsidRPr="0044371A" w:rsidRDefault="0044371A" w:rsidP="0044371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44371A" w:rsidRPr="0044371A" w:rsidRDefault="0044371A" w:rsidP="0044371A">
            <w:pPr>
              <w:spacing w:after="0" w:line="240" w:lineRule="auto"/>
              <w:rPr>
                <w:rFonts w:ascii="Times New Roman" w:eastAsia="Times New Roman" w:hAnsi="Times New Roman" w:cs="Times New Roman"/>
                <w:color w:val="000000"/>
                <w:sz w:val="26"/>
                <w:szCs w:val="26"/>
              </w:rPr>
            </w:pP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Bộ, ngành</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Địa phương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4371A" w:rsidRPr="0044371A" w:rsidRDefault="0044371A" w:rsidP="0044371A">
            <w:pPr>
              <w:spacing w:after="0" w:line="240" w:lineRule="auto"/>
              <w:rPr>
                <w:rFonts w:ascii="Times New Roman" w:eastAsia="Times New Roman" w:hAnsi="Times New Roman" w:cs="Times New Roman"/>
                <w:color w:val="000000"/>
                <w:sz w:val="26"/>
                <w:szCs w:val="26"/>
              </w:rPr>
            </w:pPr>
          </w:p>
        </w:tc>
      </w:tr>
      <w:tr w:rsidR="0044371A" w:rsidRPr="0044371A" w:rsidTr="0044371A">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after="0" w:line="234" w:lineRule="atLeast"/>
              <w:rPr>
                <w:rFonts w:ascii="Times New Roman" w:eastAsia="Times New Roman" w:hAnsi="Times New Roman" w:cs="Times New Roman"/>
                <w:color w:val="000000"/>
                <w:sz w:val="26"/>
                <w:szCs w:val="26"/>
              </w:rPr>
            </w:pPr>
            <w:bookmarkStart w:id="3" w:name="muc_1"/>
            <w:r w:rsidRPr="0044371A">
              <w:rPr>
                <w:rFonts w:ascii="Times New Roman" w:eastAsia="Times New Roman" w:hAnsi="Times New Roman" w:cs="Times New Roman"/>
                <w:b/>
                <w:bCs/>
                <w:color w:val="000000"/>
                <w:sz w:val="26"/>
                <w:szCs w:val="26"/>
                <w:lang w:val="vi-VN"/>
              </w:rPr>
              <w:t>I. NHÓM DỊCH VỤ CÔNG LIÊN QUAN ĐẾN MỘT SỐ CHỈ SỐ MÔI TRƯỜNG KINH DOANH</w:t>
            </w:r>
            <w:bookmarkEnd w:id="3"/>
          </w:p>
        </w:tc>
      </w:tr>
      <w:tr w:rsidR="0044371A" w:rsidRPr="0044371A" w:rsidTr="0044371A">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Nhóm về chỉ số khởi sự kinh doanh</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01</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thành lập doanh nghiệp</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Kế hoạch và Đầu tư: Tái cấu trúc quy trình, tích hợp, cung cấp trên Cổng Dịch vụ công Quốc gia.</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02</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Thông báo sử dụng, thay đổi, hủy mẫu con dấu đối với doanh nghiệp (đối với doanh nghiệp tư nhân, công ty TNHH, công ty cổ phần, công ty hợp danh)</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Kế hoạch và Đầu tư: Tái cấu trúc quy trình, xây dựng, tích hợp, cung cấp trên Cổng Dịch vụ công Quốc gia.</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03</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Khai lệ phí môn bài</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Tài chính</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04</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Kê khai thuế doanh nghiệp</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Tài chính</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05</w:t>
            </w:r>
          </w:p>
        </w:tc>
        <w:tc>
          <w:tcPr>
            <w:tcW w:w="21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Liên thông Đăng ký thành lập doanh nghiệp và cấp mã số vị đơn vị bảo hiểm xã hội</w:t>
            </w:r>
          </w:p>
        </w:tc>
        <w:tc>
          <w:tcPr>
            <w:tcW w:w="9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Kế hoạch và Đầu tư chủ trì, phối hợp với Bảo hiểm xã hội Việt Nam, Văn phòng Chính phủ: Tá</w:t>
            </w:r>
            <w:r w:rsidRPr="0044371A">
              <w:rPr>
                <w:rFonts w:ascii="Times New Roman" w:eastAsia="Times New Roman" w:hAnsi="Times New Roman" w:cs="Times New Roman"/>
                <w:color w:val="000000"/>
                <w:sz w:val="26"/>
                <w:szCs w:val="26"/>
              </w:rPr>
              <w:t>i </w:t>
            </w:r>
            <w:r w:rsidRPr="0044371A">
              <w:rPr>
                <w:rFonts w:ascii="Times New Roman" w:eastAsia="Times New Roman" w:hAnsi="Times New Roman" w:cs="Times New Roman"/>
                <w:color w:val="000000"/>
                <w:sz w:val="26"/>
                <w:szCs w:val="26"/>
                <w:lang w:val="vi-VN"/>
              </w:rPr>
              <w:t xml:space="preserve">cấu trúc quy trình, </w:t>
            </w:r>
            <w:r w:rsidRPr="0044371A">
              <w:rPr>
                <w:rFonts w:ascii="Times New Roman" w:eastAsia="Times New Roman" w:hAnsi="Times New Roman" w:cs="Times New Roman"/>
                <w:color w:val="000000"/>
                <w:sz w:val="26"/>
                <w:szCs w:val="26"/>
                <w:lang w:val="vi-VN"/>
              </w:rPr>
              <w:lastRenderedPageBreak/>
              <w:t>xây dựng, tích hợp cung cấp trên Cổng Dịch vụ công Quốc gia.</w:t>
            </w:r>
          </w:p>
        </w:tc>
        <w:tc>
          <w:tcPr>
            <w:tcW w:w="8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UBND tỉnh, thành phố trực thuộc Trung ương tổ chức thực hiện.</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06</w:t>
            </w:r>
          </w:p>
        </w:tc>
        <w:tc>
          <w:tcPr>
            <w:tcW w:w="2150" w:type="pct"/>
            <w:tcBorders>
              <w:top w:val="nil"/>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Liên thông thủ tục báo tăng, giảm lao động (của ngành bảo hiểm xã hội) và khai trình lao động, báo cáo 6 tháng, 01 năm tình hình thay đổi về lao động (của ngành lao động, thương binh và xã hội)</w:t>
            </w:r>
          </w:p>
        </w:tc>
        <w:tc>
          <w:tcPr>
            <w:tcW w:w="950" w:type="pct"/>
            <w:tcBorders>
              <w:top w:val="nil"/>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Văn phòng Chính phủ chủ trì, phối hợp với Bộ Lao động, Thương binh và Xã hội, Bảo hiểm xã hội Việt Nam: Tái cấu trúc quy trình, xây dựng, tích hợp, cung cấp trên Cổng Dịch vụ công Quốc gia.</w:t>
            </w:r>
          </w:p>
        </w:tc>
        <w:tc>
          <w:tcPr>
            <w:tcW w:w="850" w:type="pct"/>
            <w:tcBorders>
              <w:top w:val="nil"/>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b/>
                <w:bCs/>
                <w:color w:val="000000"/>
                <w:sz w:val="26"/>
                <w:szCs w:val="26"/>
                <w:lang w:val="vi-VN"/>
              </w:rPr>
              <w:t>Nhóm về chỉ số tiếp cận điện năng</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07</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Thực hiện liên thông, đồng thời Chấp thuận xây dựng công trình và cấp phép thi công xây dựng công trình điện lực có điện áp từ 35 KV trở xuống trong phạm vi bảo vệ kết cấu hạ tầng giao thông đường bộ</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Giao thông vận tải: Tái cấu trúc quy trình, xây dựng, tích hợp, cung cấp trên Cổng Dịch vụ công Quốc gia.</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08</w:t>
            </w:r>
          </w:p>
        </w:tc>
        <w:tc>
          <w:tcPr>
            <w:tcW w:w="21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Liên thông các thủ tục cấp điện qua lưới điện hạ áp, trung áp (gồm: Tiếp nhận yêu cầu; thỏa thuận vị trí cột/trạm điện, hành lang lưới điện và cấp phép thi công xây dựng công trình điện trong phạm vi bảo vệ kết cấu hạ tầng giao thông đường bộ,...)</w:t>
            </w:r>
          </w:p>
        </w:tc>
        <w:tc>
          <w:tcPr>
            <w:tcW w:w="9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Văn phòng Chính phủ chủ trì, phối hợp với Bộ Công Thương, Bộ Giao thông vận tải, Tập đoàn Điện lực Việt Nam: Tái cấu trúc quy trình, xây dựng, tích </w:t>
            </w:r>
            <w:r w:rsidRPr="0044371A">
              <w:rPr>
                <w:rFonts w:ascii="Times New Roman" w:eastAsia="Times New Roman" w:hAnsi="Times New Roman" w:cs="Times New Roman"/>
                <w:color w:val="000000"/>
                <w:sz w:val="26"/>
                <w:szCs w:val="26"/>
                <w:lang w:val="vi-VN"/>
              </w:rPr>
              <w:lastRenderedPageBreak/>
              <w:t>hợp, cung cấp trên Cổng Dịch vụ công Quốc gia.</w:t>
            </w:r>
          </w:p>
        </w:tc>
        <w:tc>
          <w:tcPr>
            <w:tcW w:w="8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UBND tỉnh, thành phố trực thuộc Trung ương tổ chức thực hiện.</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5000" w:type="pct"/>
            <w:gridSpan w:val="5"/>
            <w:tcBorders>
              <w:top w:val="nil"/>
              <w:left w:val="single" w:sz="8" w:space="0" w:color="auto"/>
              <w:bottom w:val="nil"/>
              <w:right w:val="single" w:sz="8" w:space="0" w:color="auto"/>
            </w:tcBorders>
            <w:shd w:val="clear" w:color="auto" w:fill="auto"/>
            <w:hideMark/>
          </w:tcPr>
          <w:p w:rsidR="0044371A" w:rsidRPr="0044371A" w:rsidRDefault="0044371A" w:rsidP="0044371A">
            <w:pPr>
              <w:spacing w:after="0" w:line="234" w:lineRule="atLeast"/>
              <w:rPr>
                <w:rFonts w:ascii="Times New Roman" w:eastAsia="Times New Roman" w:hAnsi="Times New Roman" w:cs="Times New Roman"/>
                <w:color w:val="000000"/>
                <w:sz w:val="26"/>
                <w:szCs w:val="26"/>
              </w:rPr>
            </w:pPr>
            <w:bookmarkStart w:id="4" w:name="muc_2"/>
            <w:r w:rsidRPr="0044371A">
              <w:rPr>
                <w:rFonts w:ascii="Times New Roman" w:eastAsia="Times New Roman" w:hAnsi="Times New Roman" w:cs="Times New Roman"/>
                <w:b/>
                <w:bCs/>
                <w:color w:val="000000"/>
                <w:sz w:val="26"/>
                <w:szCs w:val="26"/>
                <w:lang w:val="vi-VN"/>
              </w:rPr>
              <w:lastRenderedPageBreak/>
              <w:t>II. NHÓM DỊCH VỤ CÔNG THIẾT YẾU, SỐ LƯỢNG ĐỐI TƯỢNG THỰC HIỆN CAO</w:t>
            </w:r>
            <w:bookmarkEnd w:id="4"/>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09</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Nhóm thủ tục đăng ký giao dịch bảo đảm</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Tư pháp</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10</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Thu tiền nộp phạt xử lý vi phạm hành chính trong lĩnh vực giao thông đường bộ</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Bộ Công an (đối với xử phạt thuộc thẩm quyền của Cảnh sát giao thông: Tái cấu trúc quy trình, xây dựng, tích hợp, cung cấp trên Cổng Dịch vụ công Quốc gia.</w:t>
            </w:r>
          </w:p>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Bộ Giao thông vận tải (đối với xử phạt thuộc thẩm quyền của Thanh tra giao thông): Tái cấu trúc quy trình, xây dựng, tích hợp, cung cấp trên Cổng Dịch vụ công Quốc gia.</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Quý I/2020: Thí điểm tại TP. Hà Nội, TP. Hải Phòng, TP. Hồ Chí Minh, TP. Đà Nẵng và tỉnh Bình Thuận.</w:t>
            </w:r>
          </w:p>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Tháng 6/2020: Triển khai toàn quốc.</w:t>
            </w:r>
          </w:p>
        </w:tc>
      </w:tr>
      <w:tr w:rsidR="0044371A" w:rsidRPr="0044371A" w:rsidTr="0044371A">
        <w:trPr>
          <w:tblCellSpacing w:w="0" w:type="dxa"/>
        </w:trPr>
        <w:tc>
          <w:tcPr>
            <w:tcW w:w="3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11</w:t>
            </w:r>
          </w:p>
        </w:tc>
        <w:tc>
          <w:tcPr>
            <w:tcW w:w="21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Kê khai và nộp lệ phí trước bạ xe ô tô, xe gắn máy</w:t>
            </w:r>
          </w:p>
        </w:tc>
        <w:tc>
          <w:tcPr>
            <w:tcW w:w="9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Bộ Tài chính: Tái cấu trúc quy trình, xây dựng, tích hợp, cung cấp trên Cổng Dịch vụ công Quốc gia.</w:t>
            </w:r>
          </w:p>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 Bộ Công an phối hợp với Bộ Tài chính trong việc tích h</w:t>
            </w:r>
            <w:r w:rsidRPr="0044371A">
              <w:rPr>
                <w:rFonts w:ascii="Times New Roman" w:eastAsia="Times New Roman" w:hAnsi="Times New Roman" w:cs="Times New Roman"/>
                <w:color w:val="000000"/>
                <w:sz w:val="26"/>
                <w:szCs w:val="26"/>
              </w:rPr>
              <w:t>ợ</w:t>
            </w:r>
            <w:r w:rsidRPr="0044371A">
              <w:rPr>
                <w:rFonts w:ascii="Times New Roman" w:eastAsia="Times New Roman" w:hAnsi="Times New Roman" w:cs="Times New Roman"/>
                <w:color w:val="000000"/>
                <w:sz w:val="26"/>
                <w:szCs w:val="26"/>
                <w:lang w:val="vi-VN"/>
              </w:rPr>
              <w:t>p, chia sẻ dữ liệu để sử dụng chứng từ lệ phí trước bạ điện tử trong đăng ký, cấp  biển số xe.</w:t>
            </w:r>
          </w:p>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Bộ Giao thông vận tải phối hợp với Bộ Tài chính trong việc chia sẻ dữ liệu đăng kiểm có ký số để phục vụ kê khai lệ phí trước bạ xe ô tô, xe gắn máy.</w:t>
            </w:r>
          </w:p>
        </w:tc>
        <w:tc>
          <w:tcPr>
            <w:tcW w:w="850" w:type="pct"/>
            <w:tcBorders>
              <w:top w:val="single" w:sz="8" w:space="0" w:color="auto"/>
              <w:left w:val="single" w:sz="8" w:space="0" w:color="auto"/>
              <w:bottom w:val="nil"/>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 </w:t>
            </w:r>
          </w:p>
        </w:tc>
        <w:tc>
          <w:tcPr>
            <w:tcW w:w="600" w:type="pct"/>
            <w:tcBorders>
              <w:top w:val="single" w:sz="8" w:space="0" w:color="auto"/>
              <w:left w:val="single" w:sz="8" w:space="0" w:color="auto"/>
              <w:bottom w:val="nil"/>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Quý I/2020: Thí điểm tại TP. Hà Nội và TP. Hồ Chí Minh</w:t>
            </w:r>
          </w:p>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 Tháng 6/2020: </w:t>
            </w:r>
            <w:r w:rsidRPr="0044371A">
              <w:rPr>
                <w:rFonts w:ascii="Times New Roman" w:eastAsia="Times New Roman" w:hAnsi="Times New Roman" w:cs="Times New Roman"/>
                <w:color w:val="000000"/>
                <w:sz w:val="26"/>
                <w:szCs w:val="26"/>
                <w:lang w:val="vi-VN"/>
              </w:rPr>
              <w:lastRenderedPageBreak/>
              <w:t>Triển khai toàn quốc.</w:t>
            </w:r>
          </w:p>
        </w:tc>
      </w:tr>
      <w:tr w:rsidR="0044371A" w:rsidRPr="0044371A" w:rsidTr="0044371A">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12</w:t>
            </w:r>
          </w:p>
        </w:tc>
        <w:tc>
          <w:tcPr>
            <w:tcW w:w="21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khai sinh</w:t>
            </w:r>
          </w:p>
        </w:tc>
        <w:tc>
          <w:tcPr>
            <w:tcW w:w="9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Tư pháp: Tái cấu trúc quy trình, đơn giản hóa thủ tục để phù hợp thực hiện dịch vụ công trực tuyến; tích hợp, chia sẻ dữ liệu hệ thống đăng ký khai sinh với Cổng Dịch vụ công Quốc gia, Hệ thống thông tin một cửa điện tử cấp tỉnh.</w:t>
            </w:r>
          </w:p>
        </w:tc>
        <w:tc>
          <w:tcPr>
            <w:tcW w:w="850" w:type="pct"/>
            <w:tcBorders>
              <w:top w:val="single" w:sz="8" w:space="0" w:color="auto"/>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(Đối với các tỉnh chưa hoàn thành tích hợp, cung cấp trên Cổng Dịch vụ công Quốc gia)</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phiếu lý lịch tư pháp</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Bộ Tư pháp: Tái cấu trúc quy trình, đơn giản hóa thủ tục để phù hợp thực </w:t>
            </w:r>
            <w:r w:rsidRPr="0044371A">
              <w:rPr>
                <w:rFonts w:ascii="Times New Roman" w:eastAsia="Times New Roman" w:hAnsi="Times New Roman" w:cs="Times New Roman"/>
                <w:color w:val="000000"/>
                <w:sz w:val="26"/>
                <w:szCs w:val="26"/>
                <w:lang w:val="vi-VN"/>
              </w:rPr>
              <w:lastRenderedPageBreak/>
              <w:t>hiện dịch vụ công trực tuyến; tích hợp, chia sẻ dữ liệu hệ thống đăng ký cấp phiếu lý lịch tư pháp trực tuyến với Cổng Dịch vụ công Quốc gia, Cổng Dịch vụ công, Hệ thống thông tin một cửa điện tử cấp tỉnh; tích hợp, thực hiện cấp phiếu lý lịch tư pháp trực tuyến thuộc thẩm quyền giải quyết.</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 xml:space="preserve">UBND tỉnh, thành phố trực thuộc Trung ương (Đối với các tỉnh chưa </w:t>
            </w:r>
            <w:r w:rsidRPr="0044371A">
              <w:rPr>
                <w:rFonts w:ascii="Times New Roman" w:eastAsia="Times New Roman" w:hAnsi="Times New Roman" w:cs="Times New Roman"/>
                <w:color w:val="000000"/>
                <w:sz w:val="26"/>
                <w:szCs w:val="26"/>
                <w:lang w:val="vi-VN"/>
              </w:rPr>
              <w:lastRenderedPageBreak/>
              <w:t>hoàn thành tích hợp, cung cấp trên Cổng Dịch vụ công Quốc gia)</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Quý 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14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Dịch vụ công khai báo phiếu giao nhận hồ sơ giao dịch kiểm soát chi qua mạng và giao dịch một cửa với Kho bạc Nhà nước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Tài chính</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Xác nhận số Chứng minh nhân dân khi đã được cấp thẻ Căn cước công dân</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Công an</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16</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Đổi giấy phép lái xe do ngành giao thông vận tải cấp (mức độ 4)</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Giao thông vận tải: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17</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mới giấy phép lái xe</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Bộ Giao thông vận tải: Tái cấu trúc quy trình, tích hợp, cung cấp trên Cổng </w:t>
            </w:r>
            <w:r w:rsidRPr="0044371A">
              <w:rPr>
                <w:rFonts w:ascii="Times New Roman" w:eastAsia="Times New Roman" w:hAnsi="Times New Roman" w:cs="Times New Roman"/>
                <w:color w:val="000000"/>
                <w:sz w:val="26"/>
                <w:szCs w:val="26"/>
                <w:lang w:val="vi-VN"/>
              </w:rPr>
              <w:lastRenderedPageBreak/>
              <w:t>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18</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Thông báo sửa đổi, bổ sung nội dung chương trình khuyến mại</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Công Thương: Tái cấu trúc quy trình, xây dựng,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19</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Chứng nhận lãnh sự, hợp pháp hóa lãnh sự giấy tờ, tài liệu tại các cơ quan trong nước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Ngoại giao</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Thành phố Hồ Chí Minh (Sở Ngoại vụ Thành phố Hồ Chí Minh)</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20</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Gia hạn tạm trú, cấp thị thực cho người nước ngoài tại Việt Nam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Ngoại giao</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Thành phố Hồ Chí Minh (Sở Ngoại vụ Thành phố Hồ Chí Minh)</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21</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Cung cấp thông tin, dữ liệu, sản phẩm đo đạc và bản đồ</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Tài nguyên và Môi trường: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22</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chứng chỉ hành nghề hoạt động xây dựng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Xây dựng: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lại chứng chỉ hành nghề hoạt động xây dựng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Bộ Xây dựng: Tái cấu trúc quy trình, tích hợp, </w:t>
            </w:r>
            <w:r w:rsidRPr="0044371A">
              <w:rPr>
                <w:rFonts w:ascii="Times New Roman" w:eastAsia="Times New Roman" w:hAnsi="Times New Roman" w:cs="Times New Roman"/>
                <w:color w:val="000000"/>
                <w:sz w:val="26"/>
                <w:szCs w:val="26"/>
                <w:lang w:val="vi-VN"/>
              </w:rPr>
              <w:lastRenderedPageBreak/>
              <w:t>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 xml:space="preserve">UBND tỉnh, thành phố trực thuộc Trung </w:t>
            </w:r>
            <w:r w:rsidRPr="0044371A">
              <w:rPr>
                <w:rFonts w:ascii="Times New Roman" w:eastAsia="Times New Roman" w:hAnsi="Times New Roman" w:cs="Times New Roman"/>
                <w:color w:val="000000"/>
                <w:sz w:val="26"/>
                <w:szCs w:val="26"/>
                <w:lang w:val="vi-VN"/>
              </w:rPr>
              <w:lastRenderedPageBreak/>
              <w:t>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24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nâng hạng chứng chỉ hành nghề hoạt động xây dựng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Xây dựng: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số tiếp nhận phiếu công bố sản phẩm mỹ phẩm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26</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Kê khai/kê khai lại giá thuốc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27</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thức ăn chăn nuôi sản xuất trong nước được phép lưu hành tại Việt Nam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Nông nghiệp và PTNT</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28</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điều chỉnh đóng bảo hiểm xã hội bắt buộc, bảo hiểm y tế, bảo hiểm thất nghiệp; cấp sổ bảo hiểm xã hội, thẻ bảo hiểm y tế</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29</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đăng ký lại, điều chỉnh đóng bảo hiểm xã hội tự nguyện; cấp sổ bảo hiểm xã hội</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30</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lại, đổi, điều chỉnh thông tin trên sổ bảo hiểm xã hội, thẻ bảo hiểm y tế (Trừ trường hợp đề nghị cộng nối thời gian công tác trước năm 1995)</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31</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Giải quyết hưởng chế độ ốm đau</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32</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Giải quyết hưởng chế độ thai sản</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Giải quyết hưởng trợ cấp dưỡng sức, phục hồi sức khỏe sau ốm đau, thai </w:t>
            </w:r>
            <w:r w:rsidRPr="0044371A">
              <w:rPr>
                <w:rFonts w:ascii="Times New Roman" w:eastAsia="Times New Roman" w:hAnsi="Times New Roman" w:cs="Times New Roman"/>
                <w:color w:val="000000"/>
                <w:sz w:val="26"/>
                <w:szCs w:val="26"/>
                <w:lang w:val="vi-VN"/>
              </w:rPr>
              <w:lastRenderedPageBreak/>
              <w:t>sản, tai nạn lao động, bệnh nghề nghiệp</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34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Giải quyết hưởng tiếp lương hưu, trợ cấp bảo hiểm xã hội hàng tháng đối với người chấp hành xong hình phạt tù, người xuất cảnh trái phép trở về nước định cư hợp pháp, người được Tòa án hủy quyết định tuyên bố mất tích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Giải quyết di chuyển đối với người đang hưởng lương hưu, trợ cấp bảo hiểm xã hội hàng tháng và người chờ hưởng lương hưu, trợ cấp hàng tháng từ tỉnh này đến tỉnh khác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36</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Người hưởng lĩnh chế độ bảo hiểm xã hội bằng tiền mặt chuyển sang lĩnh bằng tài khoản cá nhân và ngược lại, hoặc thay đổi tài khoản cá nhân, hoặc thay đổi nơi nhận trong địa bàn tỉnh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37</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Nộp tiền đóng bảo hiểm xã hội tự nguyện và bảo hiểm y tế</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Bảo hiểm xã hội Việt Nam</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38</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dự thi trung học phổ thông quốc gia</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Giáo dục và Đào tạo: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39</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xét tuyển đại học hệ chính quy; tuyển sinh cao đẳng, tuyển sinh trung cấp nhóm ngành đào tạo giáo viên hệ chính quy</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Giáo dục và Đào tạo: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40</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cấp lại, sửa đổi, bổ sung hộ chiếu phổ thông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Công an</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41</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Lưu trú và tiếp nhận lưu trú</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Công an</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42</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cấp lại, sửa đổi, bổ sung hộ chiếu ngoại giao, hộ chiếu công vụ</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Ngoại giao</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nhãn hiệu</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Khoa học và Công nghệ</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giấy xác nhận đăng ký xuất bản</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Thông tin và Truyền thông</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gia hạn, sửa đổi, bổ sung nội dung Giấy phép sử dụng tần số và thiết bị vô tuyến điện đối với mạng thông tin vô tuyến điện nội bộ, mạng viễn thông dùng riêng sử dụng tần số thuộc nghiệp vụ di động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Thông tin và Truyền thông</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46</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cấp đổi giấy chứng nhận quyền sử dụng mã số, mã vạch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Khoa học và Công nghệ</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47</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Duy trì hiệu lực Văn bằng bảo hộ</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Khoa học và Công nghệ</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48</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Gia hạn hiệu lực Văn bằng bảo hộ</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Khoa học và Công nghệ</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49</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bản sao văn bằng, ch</w:t>
            </w:r>
            <w:r w:rsidRPr="0044371A">
              <w:rPr>
                <w:rFonts w:ascii="Times New Roman" w:eastAsia="Times New Roman" w:hAnsi="Times New Roman" w:cs="Times New Roman"/>
                <w:color w:val="000000"/>
                <w:sz w:val="26"/>
                <w:szCs w:val="26"/>
              </w:rPr>
              <w:t>ứ</w:t>
            </w:r>
            <w:r w:rsidRPr="0044371A">
              <w:rPr>
                <w:rFonts w:ascii="Times New Roman" w:eastAsia="Times New Roman" w:hAnsi="Times New Roman" w:cs="Times New Roman"/>
                <w:color w:val="000000"/>
                <w:sz w:val="26"/>
                <w:szCs w:val="26"/>
                <w:lang w:val="vi-VN"/>
              </w:rPr>
              <w:t>ng chỉ từ sổ gốc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50</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Thủ tục đăng ký thế chấp quyền sử dụng dụng đất, tài sản gắn liền với đất; thay đổi nội dung thế chấp đã đăng ký; xóa đăng ký thế chấp</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51</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thành lập hộ kinh doanh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UBND tỉnh, thành phố trực </w:t>
            </w:r>
            <w:r w:rsidRPr="0044371A">
              <w:rPr>
                <w:rFonts w:ascii="Times New Roman" w:eastAsia="Times New Roman" w:hAnsi="Times New Roman" w:cs="Times New Roman"/>
                <w:color w:val="000000"/>
                <w:sz w:val="26"/>
                <w:szCs w:val="26"/>
                <w:lang w:val="vi-VN"/>
              </w:rPr>
              <w:lastRenderedPageBreak/>
              <w:t>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52</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Giấy xác nhận tình trạng hôn nhân</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III/2020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phù hiệu xe taxi, xe h</w:t>
            </w:r>
            <w:r w:rsidRPr="0044371A">
              <w:rPr>
                <w:rFonts w:ascii="Times New Roman" w:eastAsia="Times New Roman" w:hAnsi="Times New Roman" w:cs="Times New Roman"/>
                <w:color w:val="000000"/>
                <w:sz w:val="26"/>
                <w:szCs w:val="26"/>
              </w:rPr>
              <w:t>ợ</w:t>
            </w:r>
            <w:r w:rsidRPr="0044371A">
              <w:rPr>
                <w:rFonts w:ascii="Times New Roman" w:eastAsia="Times New Roman" w:hAnsi="Times New Roman" w:cs="Times New Roman"/>
                <w:color w:val="000000"/>
                <w:sz w:val="26"/>
                <w:szCs w:val="26"/>
                <w:lang w:val="vi-VN"/>
              </w:rPr>
              <w:t>p đồng, xe vận tải hàng hóa bằng công-ten-nơ, xe kinh doanh vận tải hàng hóa, xe kinh doanh vận tải hành khách theo tuyến cố định, xe kinh doanh vận tải hành khách bằng xe buýt.</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Giao thông vận tải: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lại phù hiệu xe taxi, xe hợp đồng, xe vận tải hàng hóa bằng công-ten-nơ, xe kinh doanh vận tải hàng hóa, xe kinh doanh vận tải hành khách theo tuyến cố định, xe kinh doanh vận tải hành khách bằng xe buýt.</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Giao thông vận tải: Tái cấu trúc quy trình,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giấy chứng nhận đăng ký quyền tác giả</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Văn hóa, Thể thao và Du lịch</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56</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nội dung quảng cáo đối với thực phẩm bảo vệ sức khỏe</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57</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Đăng ký bản công bố sản phẩm sản xuất trong nước đối với thực phẩm bảo vệ sức khỏe, Phụ gia thực phẩm hỗn hợp có công dụng mới, phụ gia thực phẩm không thuộc trong danh mục phụ gia được phép sử dụng trong thực phẩm hoặc không đúng đối tượng sử dụng do Bộ Y tế quy định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58</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xml:space="preserve">Đăng ký bản công bố sản phẩm nhập khẩu đối với thực phẩm bảo vệ sức khỏe, Phụ gia thực phẩm hỗn hợp có công dụng mới, phụ gia thực phẩm </w:t>
            </w:r>
            <w:r w:rsidRPr="0044371A">
              <w:rPr>
                <w:rFonts w:ascii="Times New Roman" w:eastAsia="Times New Roman" w:hAnsi="Times New Roman" w:cs="Times New Roman"/>
                <w:color w:val="000000"/>
                <w:sz w:val="26"/>
                <w:szCs w:val="26"/>
                <w:lang w:val="vi-VN"/>
              </w:rPr>
              <w:lastRenderedPageBreak/>
              <w:t>không thuộc trong danh mục phụ gia được phép sử dụng trong thực phẩm hoặc không đúng đối tượng sử dụng do Bộ Y tế quy định</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lastRenderedPageBreak/>
              <w:t>59</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giấy xác nhận nội dung thông tin, quảng cáo thuốc</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60</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Xác nhận nội dung quảng cáo đối với các sản phẩm dinh dưỡng y học, thực phẩm dùng cho chế độ ăn đặc biệt, sản phẩm dinh dưỡng dùng cho trẻ đến 36 tháng tuổi</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61</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giấy phép lao động cho người lao động nước ngoài làm việc tại Việt Nam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62</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lại Giấy phép lao động cho người lao động nước ngoài làm việc tại Việt Nam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63</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Báo cáo giải trình nhu cầu, thay đổi nhu cầu sử dụng người lao động nước ngoài</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 </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64</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Cấp chứng chỉ hành nghề khám bệnh, chữa bệnh đối với người Việt Nam</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Y tế</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r w:rsidR="0044371A" w:rsidRPr="0044371A" w:rsidTr="0044371A">
        <w:trPr>
          <w:tblCellSpacing w:w="0" w:type="dxa"/>
        </w:trPr>
        <w:tc>
          <w:tcPr>
            <w:tcW w:w="3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jc w:val="center"/>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65</w:t>
            </w:r>
          </w:p>
        </w:tc>
        <w:tc>
          <w:tcPr>
            <w:tcW w:w="21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Cung cấp thông tin về quy hoạch xây dựng</w:t>
            </w:r>
          </w:p>
        </w:tc>
        <w:tc>
          <w:tcPr>
            <w:tcW w:w="9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Bộ Xây dựng: Tái cấu trúc quy trình, xây dựng, tích hợp, cung cấp trên Cổng Dịch vụ công Quốc gia.</w:t>
            </w:r>
          </w:p>
        </w:tc>
        <w:tc>
          <w:tcPr>
            <w:tcW w:w="850" w:type="pct"/>
            <w:tcBorders>
              <w:top w:val="nil"/>
              <w:left w:val="single" w:sz="8" w:space="0" w:color="auto"/>
              <w:bottom w:val="single" w:sz="8" w:space="0" w:color="auto"/>
              <w:right w:val="nil"/>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UBND tỉnh, thành phố trực thuộc Trung ương tổ chức thực hiện.</w:t>
            </w:r>
          </w:p>
        </w:tc>
        <w:tc>
          <w:tcPr>
            <w:tcW w:w="600" w:type="pct"/>
            <w:tcBorders>
              <w:top w:val="nil"/>
              <w:left w:val="single" w:sz="8" w:space="0" w:color="auto"/>
              <w:bottom w:val="single" w:sz="8" w:space="0" w:color="auto"/>
              <w:right w:val="single" w:sz="8" w:space="0" w:color="auto"/>
            </w:tcBorders>
            <w:shd w:val="clear" w:color="auto" w:fill="auto"/>
            <w:hideMark/>
          </w:tcPr>
          <w:p w:rsidR="0044371A" w:rsidRPr="0044371A" w:rsidRDefault="0044371A" w:rsidP="0044371A">
            <w:pPr>
              <w:spacing w:before="120" w:after="120" w:line="234" w:lineRule="atLeast"/>
              <w:rPr>
                <w:rFonts w:ascii="Times New Roman" w:eastAsia="Times New Roman" w:hAnsi="Times New Roman" w:cs="Times New Roman"/>
                <w:color w:val="000000"/>
                <w:sz w:val="26"/>
                <w:szCs w:val="26"/>
              </w:rPr>
            </w:pPr>
            <w:r w:rsidRPr="0044371A">
              <w:rPr>
                <w:rFonts w:ascii="Times New Roman" w:eastAsia="Times New Roman" w:hAnsi="Times New Roman" w:cs="Times New Roman"/>
                <w:color w:val="000000"/>
                <w:sz w:val="26"/>
                <w:szCs w:val="26"/>
                <w:lang w:val="vi-VN"/>
              </w:rPr>
              <w:t>Quý IV/2020</w:t>
            </w:r>
          </w:p>
        </w:tc>
      </w:tr>
    </w:tbl>
    <w:p w:rsidR="007A4BE5" w:rsidRPr="0044371A" w:rsidRDefault="0044371A">
      <w:pPr>
        <w:rPr>
          <w:rFonts w:ascii="Times New Roman" w:hAnsi="Times New Roman" w:cs="Times New Roman"/>
          <w:sz w:val="26"/>
          <w:szCs w:val="26"/>
        </w:rPr>
      </w:pPr>
    </w:p>
    <w:sectPr w:rsidR="007A4BE5" w:rsidRPr="00443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1A"/>
    <w:rsid w:val="00414D81"/>
    <w:rsid w:val="0044371A"/>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C45C4-4D83-4586-A660-0B968F56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2024-06-15T08:36:00Z</dcterms:created>
  <dcterms:modified xsi:type="dcterms:W3CDTF">2024-06-15T08:37:00Z</dcterms:modified>
</cp:coreProperties>
</file>