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C05" w:rsidRPr="00942C05" w:rsidRDefault="00942C05" w:rsidP="00942C05">
      <w:pPr>
        <w:spacing w:before="120" w:after="120" w:line="240" w:lineRule="auto"/>
        <w:jc w:val="center"/>
        <w:outlineLvl w:val="1"/>
        <w:rPr>
          <w:rFonts w:ascii="Times New Roman" w:eastAsia="Times New Roman" w:hAnsi="Times New Roman" w:cs="Times New Roman"/>
          <w:b/>
          <w:bCs/>
          <w:color w:val="152C4A"/>
          <w:sz w:val="24"/>
          <w:szCs w:val="24"/>
        </w:rPr>
      </w:pPr>
      <w:r w:rsidRPr="00942C05">
        <w:rPr>
          <w:rFonts w:ascii="Times New Roman" w:eastAsia="Times New Roman" w:hAnsi="Times New Roman" w:cs="Times New Roman"/>
          <w:b/>
          <w:bCs/>
          <w:color w:val="152C4A"/>
          <w:sz w:val="24"/>
          <w:szCs w:val="24"/>
        </w:rPr>
        <w:t>Phụ lục</w:t>
      </w:r>
    </w:p>
    <w:p w:rsidR="00942C05" w:rsidRPr="00942C05" w:rsidRDefault="00942C05" w:rsidP="00942C05">
      <w:pPr>
        <w:spacing w:before="120" w:after="120" w:line="240" w:lineRule="auto"/>
        <w:jc w:val="center"/>
        <w:outlineLvl w:val="1"/>
        <w:rPr>
          <w:rFonts w:ascii="Times New Roman" w:eastAsia="Times New Roman" w:hAnsi="Times New Roman" w:cs="Times New Roman"/>
          <w:b/>
          <w:bCs/>
          <w:color w:val="152C4A"/>
          <w:sz w:val="24"/>
          <w:szCs w:val="24"/>
        </w:rPr>
      </w:pPr>
      <w:r w:rsidRPr="00942C05">
        <w:rPr>
          <w:rFonts w:ascii="Times New Roman" w:eastAsia="Times New Roman" w:hAnsi="Times New Roman" w:cs="Times New Roman"/>
          <w:b/>
          <w:bCs/>
          <w:color w:val="152C4A"/>
          <w:sz w:val="24"/>
          <w:szCs w:val="24"/>
        </w:rPr>
        <w:t>BẢNG PHÂN CÔNG NHIỆM VỤ VÀ KHUNG THỜI GIAN TRIỂN KHAI ĐỀ ÁN NÂNG HẠNG THỊ TRƯỜNG CHỨNG KHOÁN VIỆT NAM</w:t>
      </w:r>
    </w:p>
    <w:p w:rsidR="00942C05" w:rsidRPr="00942C05" w:rsidRDefault="00942C05" w:rsidP="00942C05">
      <w:pPr>
        <w:spacing w:before="120" w:after="120" w:line="240" w:lineRule="auto"/>
        <w:jc w:val="center"/>
        <w:rPr>
          <w:rFonts w:ascii="Times New Roman" w:eastAsia="Times New Roman" w:hAnsi="Times New Roman" w:cs="Times New Roman"/>
          <w:color w:val="152C4A"/>
          <w:sz w:val="24"/>
          <w:szCs w:val="24"/>
        </w:rPr>
      </w:pPr>
      <w:r w:rsidRPr="00942C05">
        <w:rPr>
          <w:rFonts w:ascii="Times New Roman" w:eastAsia="Times New Roman" w:hAnsi="Times New Roman" w:cs="Times New Roman"/>
          <w:color w:val="152C4A"/>
          <w:sz w:val="24"/>
          <w:szCs w:val="24"/>
        </w:rPr>
        <w:t>(Kèm Quyết định số 2014/QĐ-TTg ngày 12  tháng 9 năm 2025 của Thủ tướng Chính phủ)</w:t>
      </w:r>
    </w:p>
    <w:p w:rsidR="00942C05" w:rsidRPr="00942C05" w:rsidRDefault="00942C05" w:rsidP="00942C05">
      <w:pPr>
        <w:spacing w:after="0" w:line="240" w:lineRule="auto"/>
        <w:jc w:val="center"/>
        <w:rPr>
          <w:rFonts w:ascii="Times New Roman" w:eastAsia="Times New Roman" w:hAnsi="Times New Roman" w:cs="Times New Roman"/>
          <w:color w:val="152C4A"/>
          <w:sz w:val="24"/>
          <w:szCs w:val="24"/>
        </w:rPr>
      </w:pPr>
      <w:r w:rsidRPr="00942C05">
        <w:rPr>
          <w:rFonts w:ascii="Times New Roman" w:eastAsia="Times New Roman" w:hAnsi="Times New Roman" w:cs="Times New Roman"/>
          <w:color w:val="152C4A"/>
          <w:sz w:val="24"/>
          <w:szCs w:val="24"/>
          <w:vertAlign w:val="superscript"/>
        </w:rPr>
        <w:t>______________</w:t>
      </w:r>
    </w:p>
    <w:tbl>
      <w:tblPr>
        <w:tblW w:w="10950" w:type="dxa"/>
        <w:tblCellMar>
          <w:left w:w="0" w:type="dxa"/>
          <w:right w:w="0" w:type="dxa"/>
        </w:tblCellMar>
        <w:tblLook w:val="04A0" w:firstRow="1" w:lastRow="0" w:firstColumn="1" w:lastColumn="0" w:noHBand="0" w:noVBand="1"/>
      </w:tblPr>
      <w:tblGrid>
        <w:gridCol w:w="469"/>
        <w:gridCol w:w="3129"/>
        <w:gridCol w:w="1150"/>
        <w:gridCol w:w="1447"/>
        <w:gridCol w:w="3671"/>
        <w:gridCol w:w="1084"/>
      </w:tblGrid>
      <w:tr w:rsidR="00942C05" w:rsidRPr="00942C05" w:rsidTr="00942C05">
        <w:trPr>
          <w:tblHeader/>
        </w:trPr>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STT</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Nhiệm vụ,</w:t>
            </w:r>
          </w:p>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giải pháp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Cơ quan, tổ chức chủ trì</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Cơ quan, tổ chức phối hợp</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Sản phẩm, kết quả đầu ra</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Thời hạn hoàn thành</w:t>
            </w:r>
          </w:p>
        </w:tc>
      </w:tr>
      <w:tr w:rsidR="00942C05" w:rsidRPr="00942C05" w:rsidTr="00942C05">
        <w:tc>
          <w:tcPr>
            <w:tcW w:w="0" w:type="auto"/>
            <w:gridSpan w:val="6"/>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t>1. Nhóm các nhiệm vụ, giải pháp thực hiện mục tiêu ngắn hạn</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1.1</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Giải quyết vấn đề "Yêu cầu ứng trước tiền mua chứng khoán" nhằm tháo gỡ rào cản yêu cầu ký quỹ trước khi giao dịch trong thời gian chưa triển khai cơ sở Đối tác Bù trừ Trung tâm (CCP) cho thị trường chứng khoán cơ sở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công ty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ngân hàng lưu ký.</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hoàn thiện cơ chế giao dịch không yêu cầu có đủ tiền khi đặt lệnh mua chứng khoán cho NĐTNN theo quy định tại Thông tư số 68/2024/TT-BTC ngày 18/9/2024 của Bộ Tài chính sửa đổi, bổ sung các Thông tư cho phép thực hiện cơ chế không yêu cầu ký quỹ trước giao dịch cho nhà đầu tư nước ngoài; và Thông tư số 18/2025/TT-BTC ngày 26/4/2025 của Bộ Tài chính sửa đổi, bổ sung một số điều của Thông tư số 119/2020/TT-BTC và Thông tư số 96/2020/TT-BTC.</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2025 - 2027</w:t>
            </w:r>
          </w:p>
        </w:tc>
        <w:bookmarkStart w:id="0" w:name="_GoBack"/>
        <w:bookmarkEnd w:id="0"/>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1.2</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Minh bạch thông tin về tỷ lệ sở hữu nước ngoài tối đa trong các lĩnh vực, tạo điều kiện tiếp cận thông tin bình đẳng cho các nhà đầu tư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bộ, ngành liên quan;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công ty đại chúng niêm yết/đăng ký giao dịch trên thị trường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Nghị định sửa đổi, bổ sung Nghị định số 155/2020/NĐ-CP ngày 31/12/2020 của Chính phủ quy định chi tiết thi hành một số điều của Luật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2025 - 2026, tiếp tục hoàn thiện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1.3</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Đơn giản hóa thủ tục trong đăng ký, mở tài khoản cho nhà đầu tư nước ngoài; tạo thuận lợi và giảm thủ tục hồ sơ mở tài khoản vốn đầu tư gián tiếp.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Ngân hàng Nhà nước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kiến nghị, giải pháp nhằm tiếp tục đơn giản hóa thủ tục, tạo thuận lợi cho nhà đầu tư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2025 - 2026, tiếp tục hoàn thiện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1.4</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Tăng cường hệ thống thông tin giữa ngân hàng lưu ký và công ty chứng khoán phục vụ cho </w:t>
            </w:r>
            <w:r w:rsidRPr="00942C05">
              <w:rPr>
                <w:rFonts w:ascii="Times New Roman" w:eastAsia="Times New Roman" w:hAnsi="Times New Roman" w:cs="Times New Roman"/>
                <w:sz w:val="24"/>
                <w:szCs w:val="24"/>
              </w:rPr>
              <w:lastRenderedPageBreak/>
              <w:t>hoạt động giao dịch chứng khoán của nhà đầu tư (STP).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Bộ Tài chính (Tổng công </w:t>
            </w:r>
            <w:r w:rsidRPr="00942C05">
              <w:rPr>
                <w:rFonts w:ascii="Times New Roman" w:eastAsia="Times New Roman" w:hAnsi="Times New Roman" w:cs="Times New Roman"/>
                <w:sz w:val="24"/>
                <w:szCs w:val="24"/>
              </w:rPr>
              <w:lastRenderedPageBreak/>
              <w:t>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 Ngân hàng Nhà nước Việt </w:t>
            </w:r>
            <w:r w:rsidRPr="00942C05">
              <w:rPr>
                <w:rFonts w:ascii="Times New Roman" w:eastAsia="Times New Roman" w:hAnsi="Times New Roman" w:cs="Times New Roman"/>
                <w:sz w:val="24"/>
                <w:szCs w:val="24"/>
              </w:rPr>
              <w:lastRenderedPageBreak/>
              <w:t>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thành viên thị trường.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 Hệ thống trao đổi thông tin giữa ngân hàng lưu ký và công ty chứng khoán phục vụ cho hoạt động giao </w:t>
            </w:r>
            <w:r w:rsidRPr="00942C05">
              <w:rPr>
                <w:rFonts w:ascii="Times New Roman" w:eastAsia="Times New Roman" w:hAnsi="Times New Roman" w:cs="Times New Roman"/>
                <w:sz w:val="24"/>
                <w:szCs w:val="24"/>
              </w:rPr>
              <w:lastRenderedPageBreak/>
              <w:t>dịch chứng khoán của nhà đầu tư (STP).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Năm 2025 -2026, tiếp tục duy trì </w:t>
            </w:r>
            <w:r w:rsidRPr="00942C05">
              <w:rPr>
                <w:rFonts w:ascii="Times New Roman" w:eastAsia="Times New Roman" w:hAnsi="Times New Roman" w:cs="Times New Roman"/>
                <w:sz w:val="24"/>
                <w:szCs w:val="24"/>
              </w:rPr>
              <w:lastRenderedPageBreak/>
              <w:t>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1.5</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Triển khai cơ chế tài khoản giao dịch tổng (OTA).</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 (Tổng công 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Các thành viên thị trường.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Nghị định sửa đổi, bổ sung Nghị định số 155/2020/NĐ-CP ngày 31/12/2020 của Chính phủ quy định chi tiết thi hành một số điều của Luật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Thông tư sửa đổi, bổ sung Thông tư số 83/2024/TT-BTC ngày 26/11/2024 của Bộ Tài chính hướng dẫn cơ chế, chính sách về giá dịch vụ trong lĩnh vực chứng khoán do Nhà nước định giá áp dụng tại Sở Giao dịch Chứng khoán Việt Nam và các công ty con, Tổng Công ty Lưu ký và Bù trừ Chứng khoán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Quy chế nghiệp vụ của Sở Giao dịch Chứng khoán, Quy chế thanh toán của Tổng công 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2025 - 2027, tiếp tục hoàn thiện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1.6</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Đề xuất giải pháp ổn định thị trường ngoại hối nhằm ứng phó với biến động của dòng vốn đầu tư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Ngân hàng Nhà nước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Báo cáo, kiến nghị, giải pháp ứng phó với biến động của dòng vốn đầu tư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2025 - 2027, tiếp tục duy trì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1.7</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Tăng cường năng lực hệ thống giao dịch, thanh toán đáp ứng khối lượng giao dịch lớn.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 (Sở GDCK Tp. Hồ Chí Minh)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rPr>
                <w:rFonts w:ascii="Times New Roman" w:eastAsia="Times New Roman" w:hAnsi="Times New Roman" w:cs="Times New Roman"/>
                <w:sz w:val="24"/>
                <w:szCs w:val="24"/>
              </w:rPr>
            </w:pP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Hệ thống công nghệ thông tin cho thị trường chứng khoán được hoàn thiện, nâng cấp.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2025 - 2030</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1.8</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Tăng cường năng lực quản lý giám sát cho cơ quan quản lý thị trường chứng khoán (Ủy ban Chứng khoán Nhà nước) về nhân sự, nâng cấp hệ thống công nghệ thông tin phục vụ </w:t>
            </w:r>
            <w:r w:rsidRPr="00942C05">
              <w:rPr>
                <w:rFonts w:ascii="Times New Roman" w:eastAsia="Times New Roman" w:hAnsi="Times New Roman" w:cs="Times New Roman"/>
                <w:sz w:val="24"/>
                <w:szCs w:val="24"/>
              </w:rPr>
              <w:lastRenderedPageBreak/>
              <w:t>quản lý giám sát. Đẩy mạnh phối hợp trong nội ngành chứng khoán và phối hợp liên ngành giữa Bộ Tài chính, Ngân hàng Nhà nước Việt Nam và Bộ Công an trong giám sát hoạt động trên thị trường chứng khoán để hỗ trợ tốt hơn công tác quản lý của mỗi ngành, nâng cao hiệu quả công tác phòng ngừa, ngăn chặn tội phạm, đảm bảo an ninh, an toàn hệ thống.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Ngân hàng Nhà nước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Bộ Công an;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 Các công ty </w:t>
            </w:r>
            <w:r w:rsidRPr="00942C05">
              <w:rPr>
                <w:rFonts w:ascii="Times New Roman" w:eastAsia="Times New Roman" w:hAnsi="Times New Roman" w:cs="Times New Roman"/>
                <w:sz w:val="24"/>
                <w:szCs w:val="24"/>
              </w:rPr>
              <w:lastRenderedPageBreak/>
              <w:t>chứng khoán, các công ty quản lý quỹ.</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Đề án nâng cao năng lực quản lý giám sát cho Ủy ban Chứng khoán Nhà nước; và tổ chức thực hiện Đề 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 Đề án nâng cấp hệ thống công nghệ </w:t>
            </w:r>
            <w:r w:rsidRPr="00942C05">
              <w:rPr>
                <w:rFonts w:ascii="Times New Roman" w:eastAsia="Times New Roman" w:hAnsi="Times New Roman" w:cs="Times New Roman"/>
                <w:sz w:val="24"/>
                <w:szCs w:val="24"/>
              </w:rPr>
              <w:lastRenderedPageBreak/>
              <w:t>thông tin phục vụ quản lý giám sát cho Ủy ban Chứng khoán Nhà nước và tổ chức thực hiện Đề 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Tăng cường phối hợp giữa Bộ Tài chính, Ngân hàng Nhà nước Việt Nam và Bộ Công an trao đổi thông tin giám sát hoạt động trên thị trường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2025 - 2027, tiếp tục duy trì sau thời gian này</w:t>
            </w:r>
          </w:p>
        </w:tc>
      </w:tr>
      <w:tr w:rsidR="00942C05" w:rsidRPr="00942C05" w:rsidTr="00942C05">
        <w:tc>
          <w:tcPr>
            <w:tcW w:w="0" w:type="auto"/>
            <w:gridSpan w:val="6"/>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after="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b/>
                <w:bCs/>
                <w:sz w:val="24"/>
                <w:szCs w:val="24"/>
              </w:rPr>
              <w:lastRenderedPageBreak/>
              <w:t>2. Nhóm các nhiệm vụ, giải pháp thực hiện mục tiêu dài hạn</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2.1</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Rà soát quy định pháp luật về tỷ lệ sở hữu nước ngoài để tăng tỷ lệ sở hữu nước ngoài tối đa và đưa ra khỏi danh mục những ngành nghề không cần thiết hạn chế về tỷ lệ sở hữu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bộ ngành liên quan;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tổ chức niêm yết/đăng ký giao dịch trên thị trường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Nghị định sửa đổi, bổ sung Nghị định 31/2021/NĐ-CP ngày 26/3/2021 của Chỉnh phủ quy định chi tiết và hướng dẫn thi hành một số điều của Luật Đầu tư và các quy định có liên quan;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Nghị định sửa đổi, bổ sung Nghị định 155/2020/NĐ-CP ngày 31/12/2020 của Chính phủ quy định chi tiết và hướng dẫn thi hành một số điều của Luật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2026 - 2027, tiếp tục hoàn thiện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2.2</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Phát triển hạ tầng thanh toán, bù trừ tiên tiến đáp ứng cơ chế thanh toán giao dịch không yêu cầu ký quỹ 100%, cơ chế Đối tác bù trừ trung tâm (CCP)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 (Tổng công 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Ủy ban Chứng khoán Nhà nước;</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Ngân hàng Nhà nước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thành viên thị trường.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Công ty con của Tổng công ty Lưu ký và Bù trừ chứng khoán Việt Nam thực hiện chức năng CCP được thành lập và đi vào hoạt động.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2027</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2.3</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Nghiên cứu, áp dụng có lộ trình cho phép vay và cho vay chứng khoán, bán khống có kiểm soát thông qua cơ chế giao dịch chứng khoán chờ về, giao dịch trong ngày.</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Các công ty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Quy định và lộ trình triển khai cho phép vay và cho vay chứng khoán, giao dịch bán khống có kiểm soát.</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2026 - 2028</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2.4</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Phát triển thị trường ngoại hối, cho phép triển khai các công cụ phòng ngừa rủi ro trên thị trường ngoại hối đối với hoạt động đầu tư gián tiếp.</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Ngân hàng Nhà nước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Thông tư sửa đổi, bổ sung Thông tư số 02/2021/TT-NHNN ngày 31/3/2021 của Ngân hàng Nhà nước Việt Nam hướng dẫn giao dịch ngoại tệ trên thị trường ngoại tệ của các tổ chức tín dụng được phép hoạt động ngoại hối;</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xây dựng và triển khai các sản phẩm phòng ngừa rủi ro ngoại hối.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2.5</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Ổn định chính sách tài chính vĩ mô thông qua tăng cường phối hợp chặt chẽ giữa chính sách tài khóa, tiền tệ và các chính sách vĩ mô khác để giữ vững ổn định kinh tế vĩ mô.</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Ngân hàng Nhà nước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bộ, ngành liên quan trong phạm vi chức năng, nhiệm vụ theo quy định.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Đề xuất các chính sách về ổn định kinh tế vĩ mô trình cấp có thẩm quyền xem xét, ban hành.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2.6</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Tăng cường phối hợp giữa các cơ quan quản lý về ngoại hối, quản lý thị trường chứng khoán trong việc giám sát thường xuyên tình hình luân chuyển của dòng vốn đầu tư gián tiếp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Ngân hàng Nhà nước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báo cáo định kỳ, báo cáo đột xuất về rủi ro đảo chiều dòng vốn trên thị trường tài chính;</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Cơ chế phối hợp giữa các cơ quan quản lý về ngoại hối, quản lý thị trường chứng khoán trong việc giám sát thường xuyên tình hình luân chuyển của dòng vốn đầu tư gián tiếp nước ngoài.</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Thường xuyên</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2.7</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Tiếp tục hiện đại hóa hệ thống giao dịch và hệ thống thanh toán giao dịch chứng khoán trên thị trường chứng khoán, tăng cường năng lực hệ thống giao dịch để đáp ứng khối lượng giao dịch lớn. Nghiên cứu từng bước ứng dụng công nghệ mới cho hoạt động của thị trường </w:t>
            </w:r>
            <w:r w:rsidRPr="00942C05">
              <w:rPr>
                <w:rFonts w:ascii="Times New Roman" w:eastAsia="Times New Roman" w:hAnsi="Times New Roman" w:cs="Times New Roman"/>
                <w:sz w:val="24"/>
                <w:szCs w:val="24"/>
              </w:rPr>
              <w:lastRenderedPageBreak/>
              <w:t>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Bộ Tài chính (Ủy ban Chứng khoán Nhà nước)</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Sở Giao dịch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Tổng công 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Nâng cấp năng lực hệ thống giao dịch, thanh toán cho thị trường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từng bước ứng dụng công nghệ mới cho hoạt động của thị trường chứng 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 tiếp tục duy trì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2.8</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Hoàn thiện cơ chế, chính sách và quy định pháp luật trong quản lý giám sát, đảm bảo an ninh, an toàn cho thị trường chứng khoán, hệ thống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Ngân hàng Nhà nước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Bộ Công an.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Rà soát và sửa đổi, bổ sung các quy định pháp luật về tài chính, pháp luật về ngân hàng, pháp luật về xử lý hành chính, hình sự có liên quan để tăng cường quản lý giám sát, đảm bảo an ninh, an toàn cho thị trường chứng khoán, hệ thống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 tiếp tục duy trì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2.9</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Tăng cường tính thanh khoản cho thị trường: Triển khai các loại lệnh, cơ chế giao dịch mới trên thị trường cổ phiếu, đặc biệt là các loại lệnh phù hợp với nhu cầu của các nhà đầu tư; phát triển hệ thống các nhà tạo lập thị trường theo thông lệ quốc tế.</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 (Ủy ban Chứng khoán Nhà nước)</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Sở Giao dịch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Tổng công ty Lưu ký và Bù trừ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Thông tư sửa đổi, bổ sung Thông tư 120/2020/TT-BTC ngày 31/12/2020 của Bộ Tài chính về giao dịch cổ phiếu niêm yết, đăng ký giao dịch và chứng chỉ quỹ, trái phiếu doanh nghiệp, chứng quyền có bảo đảm trên hệ thống giao dịch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Quy chế sửa đổi, bổ sung Quy chế về niêm yết, đăng ký giao dịch của Sở Giao dịch Chứng khoán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2.10</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Nâng cao tính minh bạch trên thị trường chứng khoán: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Tăng cường kiểm tra chất lượng hoạt động của các đơn vị kiểm toán, kiểm toán viên;</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Triển khai Đề án áp dụng chuẩn mực kế toán quốc tế, khuyến khích doanh nghiệp niêm yết quy mô lớn thực hiện công bố báo cáo tài chính theo chuẩn Báo cáo tài chính quốc tế (IFRS);</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Tăng cường quản trị công ty theo tiêu chuẩn của Tổ chức Hợp tác và Phát triển Kinh tế (OECD) cho các công ty đại chúng.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tổ chức niêm yết/đăng ký giao dịch, các công ty chứng khoán, các công ty quản lý quỹ;</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Hiệp hội kiểm toán viên hành nghề Việt 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Hiệp hội Trái phiếu Việt Nam.</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Đề án áp dụng chuẩn mực kế toán quốc tế (IFRS) cho các tổ chức niêm yết;</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Thông tư sửa đổi, bổ sung Thông tư 116/2020/TT-BTC ngày 31/12/2020 của Bộ Tài chính hướng dẫn một số điều về quản trị công ty áp dụng đối với công ty đại chúng;</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Chương trình đào tạo thường xuyên về quản trị công ty niêm yết theo tiêu chuẩn quốc tế.</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2026 - 2030, tiếp tục duy trì sau thời gian này.</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2.11</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xml:space="preserve">Phát triển, đa dạng hóa, cơ cấu </w:t>
            </w:r>
            <w:r w:rsidRPr="00942C05">
              <w:rPr>
                <w:rFonts w:ascii="Times New Roman" w:eastAsia="Times New Roman" w:hAnsi="Times New Roman" w:cs="Times New Roman"/>
                <w:sz w:val="24"/>
                <w:szCs w:val="24"/>
              </w:rPr>
              <w:lastRenderedPageBreak/>
              <w:t>lại cơ sở nhà đầu tư:</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Tăng cường đào tạo, phổ biến kiến thức cho nhà đầu tư trong nước;</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Khuyến khích nhà đầu tư cá nhân đầu tư thông qua định chế đầu tư chuyên nghiệp (quỹ đầu tư chứng khoán) hướng tới phát triển các nhà đầu tư tổ chức, quỹ đầu tư, đảm bảo thị trường chứng khoán phát triển cân bằng, ổn định.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Bộ Tài </w:t>
            </w:r>
            <w:r w:rsidRPr="00942C05">
              <w:rPr>
                <w:rFonts w:ascii="Times New Roman" w:eastAsia="Times New Roman" w:hAnsi="Times New Roman" w:cs="Times New Roman"/>
                <w:sz w:val="24"/>
                <w:szCs w:val="24"/>
              </w:rPr>
              <w:lastRenderedPageBreak/>
              <w:t>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 Ngân hàng Nhà nước Việt </w:t>
            </w:r>
            <w:r w:rsidRPr="00942C05">
              <w:rPr>
                <w:rFonts w:ascii="Times New Roman" w:eastAsia="Times New Roman" w:hAnsi="Times New Roman" w:cs="Times New Roman"/>
                <w:sz w:val="24"/>
                <w:szCs w:val="24"/>
              </w:rPr>
              <w:lastRenderedPageBreak/>
              <w:t>Nam;</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Các thành viên thị trường.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 Đề án Tái cấu trúc nhà đầu tư và phát triển ngành quỹ đầu tư chứng </w:t>
            </w:r>
            <w:r w:rsidRPr="00942C05">
              <w:rPr>
                <w:rFonts w:ascii="Times New Roman" w:eastAsia="Times New Roman" w:hAnsi="Times New Roman" w:cs="Times New Roman"/>
                <w:sz w:val="24"/>
                <w:szCs w:val="24"/>
              </w:rPr>
              <w:lastRenderedPageBreak/>
              <w:t>khoán.</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 xml:space="preserve">2026 - </w:t>
            </w:r>
            <w:r w:rsidRPr="00942C05">
              <w:rPr>
                <w:rFonts w:ascii="Times New Roman" w:eastAsia="Times New Roman" w:hAnsi="Times New Roman" w:cs="Times New Roman"/>
                <w:sz w:val="24"/>
                <w:szCs w:val="24"/>
              </w:rPr>
              <w:lastRenderedPageBreak/>
              <w:t>2030</w:t>
            </w:r>
          </w:p>
        </w:tc>
      </w:tr>
      <w:tr w:rsidR="00942C05" w:rsidRPr="00942C05" w:rsidTr="00942C05">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lastRenderedPageBreak/>
              <w:t>2.12</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Đa dạng hóa cơ sở hàng hóa cho thị trường:</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triển khai các sản phẩm mới cho thị trường phái sinh, các loại chứng khoán xanh, trái phiếu xanh... phù hợp với trình độ phát triển của thị trường.</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Cải tiến chất lượng chỉ số hiện hành, đa dạng hóa chỉ số.</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Bộ Tài chính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Các thành viên thị trường</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Nghiên cứu triển khai các sản phẩm mới nhu trái phiếu cho phát triển cơ sở hạ tầng, trái phiếu xanh, hợp đồng quyền chọn, hợp đồng tương lai mới, các loại sản phẩm cấu trúc, các loại chứng chỉ lưu ký, các loại chứng chỉ quỹ đầu tư chứng khoán mới, các công cụ tài chính xanh... phù hợp với trình độ phát triển của thị trường.</w:t>
            </w:r>
          </w:p>
          <w:p w:rsidR="00942C05" w:rsidRPr="00942C05" w:rsidRDefault="00942C05" w:rsidP="00942C05">
            <w:pPr>
              <w:spacing w:before="120" w:after="120" w:line="240" w:lineRule="auto"/>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 Cải tiến chất lượng chỉ số hiện hành, đa dạng hóa chỉ số, phát triển thêm các chỉ số cơ sở làm tài sản cơ sở cho thị trường chứng khoán phái sinh;</w:t>
            </w:r>
          </w:p>
        </w:tc>
        <w:tc>
          <w:tcPr>
            <w:tcW w:w="0" w:type="auto"/>
            <w:tcBorders>
              <w:top w:val="single" w:sz="6" w:space="0" w:color="333333"/>
              <w:left w:val="single" w:sz="6" w:space="0" w:color="333333"/>
              <w:bottom w:val="single" w:sz="6" w:space="0" w:color="333333"/>
              <w:right w:val="single" w:sz="6" w:space="0" w:color="333333"/>
            </w:tcBorders>
            <w:hideMark/>
          </w:tcPr>
          <w:p w:rsidR="00942C05" w:rsidRPr="00942C05" w:rsidRDefault="00942C05" w:rsidP="00942C05">
            <w:pPr>
              <w:spacing w:before="120" w:after="120" w:line="240" w:lineRule="auto"/>
              <w:jc w:val="center"/>
              <w:rPr>
                <w:rFonts w:ascii="Times New Roman" w:eastAsia="Times New Roman" w:hAnsi="Times New Roman" w:cs="Times New Roman"/>
                <w:sz w:val="24"/>
                <w:szCs w:val="24"/>
              </w:rPr>
            </w:pPr>
            <w:r w:rsidRPr="00942C05">
              <w:rPr>
                <w:rFonts w:ascii="Times New Roman" w:eastAsia="Times New Roman" w:hAnsi="Times New Roman" w:cs="Times New Roman"/>
                <w:sz w:val="24"/>
                <w:szCs w:val="24"/>
              </w:rPr>
              <w:t>2026 - 203</w:t>
            </w:r>
          </w:p>
        </w:tc>
      </w:tr>
    </w:tbl>
    <w:p w:rsidR="007D03EA" w:rsidRPr="00942C05" w:rsidRDefault="007D03EA">
      <w:pPr>
        <w:rPr>
          <w:rFonts w:ascii="Times New Roman" w:hAnsi="Times New Roman" w:cs="Times New Roman"/>
          <w:sz w:val="24"/>
          <w:szCs w:val="24"/>
        </w:rPr>
      </w:pPr>
    </w:p>
    <w:sectPr w:rsidR="007D03EA" w:rsidRPr="00942C05" w:rsidSect="00942C05">
      <w:pgSz w:w="12240" w:h="15840"/>
      <w:pgMar w:top="1440"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C05"/>
    <w:rsid w:val="00522546"/>
    <w:rsid w:val="007D03EA"/>
    <w:rsid w:val="00942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42C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2C05"/>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42C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2C0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519679">
      <w:bodyDiv w:val="1"/>
      <w:marLeft w:val="0"/>
      <w:marRight w:val="0"/>
      <w:marTop w:val="0"/>
      <w:marBottom w:val="0"/>
      <w:divBdr>
        <w:top w:val="none" w:sz="0" w:space="0" w:color="auto"/>
        <w:left w:val="none" w:sz="0" w:space="0" w:color="auto"/>
        <w:bottom w:val="none" w:sz="0" w:space="0" w:color="auto"/>
        <w:right w:val="none" w:sz="0" w:space="0" w:color="auto"/>
      </w:divBdr>
      <w:divsChild>
        <w:div w:id="688608194">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1779</Words>
  <Characters>10144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2025-09-19T07:46:00Z</dcterms:created>
  <dcterms:modified xsi:type="dcterms:W3CDTF">2025-09-19T07:46:00Z</dcterms:modified>
</cp:coreProperties>
</file>