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020"/>
      </w:tblGrid>
      <w:tr w:rsidR="003C17EF" w:rsidRPr="003C17EF" w:rsidTr="003C17EF">
        <w:trPr>
          <w:tblCellSpacing w:w="0" w:type="dxa"/>
        </w:trPr>
        <w:tc>
          <w:tcPr>
            <w:tcW w:w="1650" w:type="pct"/>
            <w:tcBorders>
              <w:top w:val="single" w:sz="8" w:space="0" w:color="auto"/>
              <w:left w:val="nil"/>
              <w:bottom w:val="single" w:sz="8" w:space="0" w:color="auto"/>
              <w:right w:val="single" w:sz="8" w:space="0" w:color="auto"/>
            </w:tcBorders>
            <w:shd w:val="clear" w:color="auto" w:fill="FFFFFF"/>
            <w:hideMark/>
          </w:tcPr>
          <w:p w:rsidR="003C17EF" w:rsidRPr="003C17EF" w:rsidRDefault="003C17EF" w:rsidP="003C17EF">
            <w:pPr>
              <w:widowControl/>
              <w:autoSpaceDE/>
              <w:autoSpaceDN/>
              <w:spacing w:line="234" w:lineRule="atLeast"/>
              <w:jc w:val="center"/>
              <w:rPr>
                <w:color w:val="000000"/>
                <w:sz w:val="26"/>
                <w:szCs w:val="26"/>
              </w:rPr>
            </w:pPr>
            <w:bookmarkStart w:id="0" w:name="chuong_pl1"/>
            <w:r w:rsidRPr="003C17EF">
              <w:rPr>
                <w:b/>
                <w:bCs/>
                <w:color w:val="000000"/>
                <w:sz w:val="26"/>
                <w:szCs w:val="26"/>
              </w:rPr>
              <w:br/>
              <w:t>Mẫu số 02</w:t>
            </w:r>
            <w:bookmarkEnd w:id="0"/>
            <w:r w:rsidRPr="003C17EF">
              <w:rPr>
                <w:b/>
                <w:bCs/>
                <w:color w:val="000000"/>
                <w:sz w:val="26"/>
                <w:szCs w:val="26"/>
              </w:rPr>
              <w:br/>
            </w:r>
            <w:r w:rsidRPr="003C17EF">
              <w:rPr>
                <w:i/>
                <w:iCs/>
                <w:color w:val="000000"/>
                <w:sz w:val="26"/>
                <w:szCs w:val="26"/>
              </w:rPr>
              <w:t>(Kèm theo Thông tư số 14/2025/TT-BTC ngày 4/4/2025 của Bộ trưởng Bộ Tài chính)</w:t>
            </w:r>
          </w:p>
        </w:tc>
      </w:tr>
    </w:tbl>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 </w:t>
      </w:r>
    </w:p>
    <w:p w:rsidR="003C17EF" w:rsidRPr="003C17EF" w:rsidRDefault="003C17EF" w:rsidP="003C17EF">
      <w:pPr>
        <w:widowControl/>
        <w:shd w:val="clear" w:color="auto" w:fill="FFFFFF"/>
        <w:autoSpaceDE/>
        <w:autoSpaceDN/>
        <w:spacing w:before="120" w:after="120" w:line="234" w:lineRule="atLeast"/>
        <w:jc w:val="center"/>
        <w:rPr>
          <w:color w:val="000000"/>
          <w:sz w:val="26"/>
          <w:szCs w:val="26"/>
        </w:rPr>
      </w:pPr>
      <w:r w:rsidRPr="003C17EF">
        <w:rPr>
          <w:b/>
          <w:bCs/>
          <w:color w:val="000000"/>
          <w:sz w:val="26"/>
          <w:szCs w:val="26"/>
        </w:rPr>
        <w:t>CỘNG HÒA XÃ HỘI CHỦ NGHĨA VIỆT NAM</w:t>
      </w:r>
      <w:r w:rsidRPr="003C17EF">
        <w:rPr>
          <w:b/>
          <w:bCs/>
          <w:color w:val="000000"/>
          <w:sz w:val="26"/>
          <w:szCs w:val="26"/>
        </w:rPr>
        <w:br/>
        <w:t>Độc lập - Tự do - Hạnh phúc</w:t>
      </w:r>
      <w:r w:rsidRPr="003C17EF">
        <w:rPr>
          <w:b/>
          <w:bCs/>
          <w:color w:val="000000"/>
          <w:sz w:val="26"/>
          <w:szCs w:val="26"/>
        </w:rPr>
        <w:br/>
        <w:t>---------------</w:t>
      </w:r>
    </w:p>
    <w:p w:rsidR="003C17EF" w:rsidRPr="003C17EF" w:rsidRDefault="003C17EF" w:rsidP="003C17EF">
      <w:pPr>
        <w:widowControl/>
        <w:shd w:val="clear" w:color="auto" w:fill="FFFFFF"/>
        <w:autoSpaceDE/>
        <w:autoSpaceDN/>
        <w:spacing w:before="120" w:after="120" w:line="234" w:lineRule="atLeast"/>
        <w:jc w:val="center"/>
        <w:rPr>
          <w:color w:val="000000"/>
          <w:sz w:val="26"/>
          <w:szCs w:val="26"/>
        </w:rPr>
      </w:pPr>
      <w:r w:rsidRPr="003C17EF">
        <w:rPr>
          <w:i/>
          <w:iCs/>
          <w:color w:val="000000"/>
          <w:sz w:val="26"/>
          <w:szCs w:val="26"/>
        </w:rPr>
        <w:t>…, ngày... tháng...năm...</w:t>
      </w:r>
    </w:p>
    <w:p w:rsidR="003C17EF" w:rsidRPr="003C17EF" w:rsidRDefault="003C17EF" w:rsidP="003C17EF">
      <w:pPr>
        <w:widowControl/>
        <w:shd w:val="clear" w:color="auto" w:fill="FFFFFF"/>
        <w:autoSpaceDE/>
        <w:autoSpaceDN/>
        <w:spacing w:line="234" w:lineRule="atLeast"/>
        <w:jc w:val="center"/>
        <w:rPr>
          <w:color w:val="000000"/>
          <w:sz w:val="26"/>
          <w:szCs w:val="26"/>
        </w:rPr>
      </w:pPr>
      <w:bookmarkStart w:id="1" w:name="chuong_pl1_name"/>
      <w:r w:rsidRPr="003C17EF">
        <w:rPr>
          <w:b/>
          <w:bCs/>
          <w:color w:val="000000"/>
          <w:sz w:val="26"/>
          <w:szCs w:val="26"/>
        </w:rPr>
        <w:t>HỢP ĐỒNG MỞ TÀI KHOẢN GIAO DỊCH CHỨNG KHOÁN PHÁI SINH</w:t>
      </w:r>
      <w:bookmarkEnd w:id="1"/>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Hợp đồng mở</w:t>
      </w:r>
      <w:bookmarkStart w:id="2" w:name="_GoBack"/>
      <w:bookmarkEnd w:id="2"/>
      <w:r w:rsidRPr="003C17EF">
        <w:rPr>
          <w:color w:val="000000"/>
          <w:sz w:val="26"/>
          <w:szCs w:val="26"/>
        </w:rPr>
        <w:t xml:space="preserve"> tài khoản giao dịch chứng khoán phái sinh giữa công ty chứng khoán và khách hàng bao gồm tối thiểu những nội dung sau đây:</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b/>
          <w:bCs/>
          <w:color w:val="000000"/>
          <w:sz w:val="26"/>
          <w:szCs w:val="26"/>
        </w:rPr>
        <w:t>1. Các bên tham gia ký kết hợp đồng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 Tên, địa chỉ, điện thoại, số giấy phép thành lập và hoạt động của công ty chứng khoán; Họ, chữ đệm và tên khai sinh, ngày, tháng, năm sinh,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quyết định ủy quyền của người đại diện, người được ủy quyền theo pháp luật của công ty chứng khoán;</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 xml:space="preserve">- Họ, chữ đệm và tên khai sinh, ngày, tháng, năm sinh, địa chỉ, điện thoại,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định danh cá nhân) của khách hàng cá nhân; Tên, địa chỉ, giấy chứng nhận đăng ký doanh nghiệp của khách hàng tổ chức, họ, chữ đệm và tên khai sinh, ngày, tháng, năm sinh, chức danh, số định danh cá nhân (đối với cá nhân là công dân Việt Nam, người gốc Việt Nam chưa xác định được quốc tịch đang sinh sống tại Việt Nam, người nước ngoài đã được cấp số định danh cá nhân), số hộ chiếu (đối với người nước ngoài không có số </w:t>
      </w:r>
      <w:r w:rsidRPr="003C17EF">
        <w:rPr>
          <w:color w:val="000000"/>
          <w:sz w:val="26"/>
          <w:szCs w:val="26"/>
        </w:rPr>
        <w:lastRenderedPageBreak/>
        <w:t>định danh cá nhân), quyết định ủy quyền của người đại diện, người được ủy quyền theo pháp luật của khách hàng tổ chức (nếu có).</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b/>
          <w:bCs/>
          <w:color w:val="000000"/>
          <w:sz w:val="26"/>
          <w:szCs w:val="26"/>
        </w:rPr>
        <w:t>2. Điều khoản về các thỏa thuận cụ thể</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a) Các cách thức nhận lệnh của công ty;</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b) Tỷ lệ ký quỹ chứng khoán phái sinh được áp dụng;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c) Thỏa thuận về lãi suất trên số dư tiền gửi ký quỹ tại ngân hàng;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d) Thời hạn, cách thức xử lý tài sản trong trường hợp khách hàng bị mất khả năng thanh toán;</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đ) Thỏa thuận về thời gian và phương thức chuyển đổi từ ngoại tệ sang đồng Việt Nam trong trường hợp chuyển tiền giao dịch chứng khoán phái sinh bằng ngoại tệ.</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e) Nêu rõ các rủi ro phát sinh trong trường hợp thành viên bù trừ mất khả năng thanh toán hoặc bị đình chỉ, tạm ngừng hoạt động, giải thể, phá sản.</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b/>
          <w:bCs/>
          <w:color w:val="000000"/>
          <w:sz w:val="26"/>
          <w:szCs w:val="26"/>
        </w:rPr>
        <w:t>3. Điều khoản về quyền và nghĩa vụ các bên tham gia</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a) Quyền và nghĩa vụ của khách hàng (sở hữu tiền, chứng khoán phái sinh và các khoản lợi nhuận, quyền và lợi ích hợp pháp khác gắn liền với số tiền, chứng khoán phái sinh đó; cung cấp thông tin theo yêu cầu của công ty, trả phí giao dịch...);</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b) Quyền và nghĩa vụ của công ty chứng khoán (thu phí giao dịch, thực hiện các ủy quyền hợp pháp khác theo thỏa thuận với khách hàng; lưu giữ, quản lý tiền, chứng khoán phái sinh cho khách hàng, thực hiện giao dịch, bảo mật thông tin, cung cấp thông tin theo yêu cầu của khách hàng...);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c) Quyền của thành viên bù trừ (sử dụng tài sản ký quỹ của nhà đầu tư để ký quỹ cho Tổng công ty lưu ký và bù trừ chứng khoán Việt Nam đối với vị thế mở của nhà đầu tư; có quyền đóng vị thế, sử dụng tài sản ký quỹ của nhà đầu tư trong trường hợp nhà đầu tư mất khả năng thanh toán...).</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b/>
          <w:bCs/>
          <w:color w:val="000000"/>
          <w:sz w:val="26"/>
          <w:szCs w:val="26"/>
        </w:rPr>
        <w:t>4. Điều khoản về các thỏa thuận khác</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a) Trách nhiệm do vi phạm hợp đồng, điều khoản này nêu rõ:</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lastRenderedPageBreak/>
        <w:t>- Khách hàng được bồi thường thiệt hại nếu công ty vi phạm nghĩa vụ quy định tại Hợp đồng này;</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 Mức bồi thường thiệt hại: Do các bên thỏa thuận cụ thể hoặc theo quy định của pháp luật.</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b) Cách thức xử lý tài khoản trong trường hợp công ty bị đình chỉ hoạt động, hủy bỏ tư cách thành viên, điều chỉnh rút nghiệp vụ môi giới, giải thể hoặc bị thu hồi Giấy phép thành lập và hoạt động;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c) Các trường hợp chấm dứt hợp đồng trước hạn;</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d) Thời gian có hiệu lực của hợp đồng;</w:t>
      </w:r>
    </w:p>
    <w:p w:rsidR="003C17EF"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đ) Giải quyết tranh chấp phát sinh;</w:t>
      </w:r>
    </w:p>
    <w:p w:rsidR="00916095" w:rsidRPr="003C17EF" w:rsidRDefault="003C17EF" w:rsidP="003C17EF">
      <w:pPr>
        <w:widowControl/>
        <w:shd w:val="clear" w:color="auto" w:fill="FFFFFF"/>
        <w:autoSpaceDE/>
        <w:autoSpaceDN/>
        <w:spacing w:before="120" w:after="120" w:line="234" w:lineRule="atLeast"/>
        <w:rPr>
          <w:color w:val="000000"/>
          <w:sz w:val="26"/>
          <w:szCs w:val="26"/>
        </w:rPr>
      </w:pPr>
      <w:r w:rsidRPr="003C17EF">
        <w:rPr>
          <w:color w:val="000000"/>
          <w:sz w:val="26"/>
          <w:szCs w:val="26"/>
        </w:rPr>
        <w:t>Các thỏa thuận khác theo thỏa thuận phù hợp với quy định của pháp luật.</w:t>
      </w:r>
    </w:p>
    <w:sectPr w:rsidR="00916095" w:rsidRPr="003C17EF" w:rsidSect="007A274D">
      <w:footerReference w:type="default" r:id="rId4"/>
      <w:pgSz w:w="11910" w:h="16840"/>
      <w:pgMar w:top="1440" w:right="1440" w:bottom="1440" w:left="1440" w:header="0" w:footer="5888"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857" w:rsidRDefault="003C17EF">
    <w:pPr>
      <w:pStyle w:val="BodyText"/>
      <w:spacing w:line="14" w:lineRule="auto"/>
      <w:rPr>
        <w:sz w:val="20"/>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6654"/>
    <w:rsid w:val="000B1B8F"/>
    <w:rsid w:val="003C17EF"/>
    <w:rsid w:val="004D07E6"/>
    <w:rsid w:val="00596654"/>
    <w:rsid w:val="00767F00"/>
    <w:rsid w:val="007A274D"/>
    <w:rsid w:val="00916095"/>
    <w:rsid w:val="00B97B0F"/>
    <w:rsid w:val="00ED75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1F342"/>
  <w15:chartTrackingRefBased/>
  <w15:docId w15:val="{D655AC44-79C5-4EA8-8696-2DAF3CA8F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A274D"/>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A274D"/>
    <w:rPr>
      <w:sz w:val="26"/>
      <w:szCs w:val="26"/>
    </w:rPr>
  </w:style>
  <w:style w:type="character" w:customStyle="1" w:styleId="BodyTextChar">
    <w:name w:val="Body Text Char"/>
    <w:basedOn w:val="DefaultParagraphFont"/>
    <w:link w:val="BodyText"/>
    <w:uiPriority w:val="1"/>
    <w:rsid w:val="007A274D"/>
    <w:rPr>
      <w:rFonts w:ascii="Times New Roman" w:eastAsia="Times New Roman" w:hAnsi="Times New Roman" w:cs="Times New Roman"/>
      <w:sz w:val="26"/>
      <w:szCs w:val="26"/>
    </w:rPr>
  </w:style>
  <w:style w:type="paragraph" w:styleId="Title">
    <w:name w:val="Title"/>
    <w:basedOn w:val="Normal"/>
    <w:link w:val="TitleChar"/>
    <w:uiPriority w:val="1"/>
    <w:qFormat/>
    <w:rsid w:val="007A274D"/>
    <w:pPr>
      <w:spacing w:before="1"/>
      <w:ind w:left="1003" w:right="1144"/>
      <w:jc w:val="center"/>
    </w:pPr>
    <w:rPr>
      <w:b/>
      <w:bCs/>
      <w:sz w:val="32"/>
      <w:szCs w:val="32"/>
    </w:rPr>
  </w:style>
  <w:style w:type="character" w:customStyle="1" w:styleId="TitleChar">
    <w:name w:val="Title Char"/>
    <w:basedOn w:val="DefaultParagraphFont"/>
    <w:link w:val="Title"/>
    <w:uiPriority w:val="1"/>
    <w:rsid w:val="007A274D"/>
    <w:rPr>
      <w:rFonts w:ascii="Times New Roman" w:eastAsia="Times New Roman" w:hAnsi="Times New Roman" w:cs="Times New Roman"/>
      <w:b/>
      <w:bCs/>
      <w:sz w:val="32"/>
      <w:szCs w:val="32"/>
    </w:rPr>
  </w:style>
  <w:style w:type="paragraph" w:customStyle="1" w:styleId="TableParagraph">
    <w:name w:val="Table Paragraph"/>
    <w:basedOn w:val="Normal"/>
    <w:uiPriority w:val="1"/>
    <w:qFormat/>
    <w:rsid w:val="007A274D"/>
  </w:style>
  <w:style w:type="paragraph" w:styleId="NormalWeb">
    <w:name w:val="Normal (Web)"/>
    <w:basedOn w:val="Normal"/>
    <w:uiPriority w:val="99"/>
    <w:semiHidden/>
    <w:unhideWhenUsed/>
    <w:rsid w:val="00ED75B4"/>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0611380">
      <w:bodyDiv w:val="1"/>
      <w:marLeft w:val="0"/>
      <w:marRight w:val="0"/>
      <w:marTop w:val="0"/>
      <w:marBottom w:val="0"/>
      <w:divBdr>
        <w:top w:val="none" w:sz="0" w:space="0" w:color="auto"/>
        <w:left w:val="none" w:sz="0" w:space="0" w:color="auto"/>
        <w:bottom w:val="none" w:sz="0" w:space="0" w:color="auto"/>
        <w:right w:val="none" w:sz="0" w:space="0" w:color="auto"/>
      </w:divBdr>
    </w:div>
    <w:div w:id="143886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586</Words>
  <Characters>3344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2</cp:revision>
  <dcterms:created xsi:type="dcterms:W3CDTF">2025-04-09T04:10:00Z</dcterms:created>
  <dcterms:modified xsi:type="dcterms:W3CDTF">2025-04-09T04:10:00Z</dcterms:modified>
</cp:coreProperties>
</file>