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07491" w:rsidRPr="00EC04BA" w:rsidRDefault="00007491" w:rsidP="0078511B">
      <w:pPr>
        <w:adjustRightInd w:val="0"/>
        <w:snapToGrid w:val="0"/>
        <w:spacing w:after="0"/>
        <w:jc w:val="center"/>
        <w:rPr>
          <w:rFonts w:cs="Arial"/>
        </w:rPr>
      </w:pPr>
      <w:r w:rsidRPr="00EC04BA">
        <w:rPr>
          <w:rFonts w:cs="Arial"/>
          <w:b/>
          <w:bCs/>
        </w:rPr>
        <w:t>Phụ lục I</w:t>
      </w:r>
    </w:p>
    <w:p w:rsidR="00007491" w:rsidRPr="00EC04BA" w:rsidRDefault="00007491" w:rsidP="0078511B">
      <w:pPr>
        <w:adjustRightInd w:val="0"/>
        <w:snapToGrid w:val="0"/>
        <w:spacing w:after="0"/>
        <w:jc w:val="center"/>
        <w:rPr>
          <w:rFonts w:cs="Arial"/>
        </w:rPr>
      </w:pPr>
      <w:r w:rsidRPr="00EC04BA">
        <w:rPr>
          <w:rFonts w:cs="Arial"/>
          <w:b/>
          <w:bCs/>
        </w:rPr>
        <w:t xml:space="preserve">DANH MỤC HÀNG TIÊU DÙNG VÀ PHƯƠNG TIỆN ĐÃ QUA SỬ </w:t>
      </w:r>
      <w:r>
        <w:rPr>
          <w:rFonts w:cs="Arial"/>
          <w:b/>
          <w:bCs/>
        </w:rPr>
        <w:br/>
      </w:r>
      <w:r w:rsidRPr="00EC04BA">
        <w:rPr>
          <w:rFonts w:cs="Arial"/>
          <w:b/>
          <w:bCs/>
        </w:rPr>
        <w:t xml:space="preserve">DỤNG CẤM NHẬP KHẨU THEO MÃ SỐ HÀNG HÓA (MÃ HS) </w:t>
      </w:r>
      <w:r>
        <w:rPr>
          <w:rFonts w:cs="Arial"/>
          <w:b/>
          <w:bCs/>
        </w:rPr>
        <w:br/>
      </w:r>
      <w:r w:rsidRPr="00EC04BA">
        <w:rPr>
          <w:rFonts w:cs="Arial"/>
          <w:b/>
          <w:bCs/>
        </w:rPr>
        <w:t>THUỘC THẨM QUYỀN QUẢN LÝ CỦA BỘ CÔNG THƯƠNG</w:t>
      </w:r>
    </w:p>
    <w:p w:rsidR="00007491" w:rsidRDefault="00007491" w:rsidP="0078511B">
      <w:pPr>
        <w:adjustRightInd w:val="0"/>
        <w:snapToGrid w:val="0"/>
        <w:jc w:val="center"/>
        <w:rPr>
          <w:rFonts w:cs="Arial"/>
          <w:i/>
          <w:iCs/>
        </w:rPr>
      </w:pPr>
      <w:r w:rsidRPr="00EC04BA">
        <w:rPr>
          <w:rFonts w:cs="Arial"/>
          <w:i/>
          <w:iCs/>
        </w:rPr>
        <w:t xml:space="preserve">(Ban hành kèm theo Thông tư số 48/2026/TT-BCT ngày 05 tháng 9 năm 2026 </w:t>
      </w:r>
      <w:r>
        <w:rPr>
          <w:rFonts w:cs="Arial"/>
          <w:i/>
          <w:iCs/>
        </w:rPr>
        <w:br/>
      </w:r>
      <w:r w:rsidRPr="00EC04BA">
        <w:rPr>
          <w:rFonts w:cs="Arial"/>
          <w:i/>
          <w:iCs/>
        </w:rPr>
        <w:t>của Bộ trưởng Bộ Công Thương)</w:t>
      </w:r>
    </w:p>
    <w:p w:rsidR="00007491" w:rsidRPr="00EC04BA" w:rsidRDefault="00007491" w:rsidP="0078511B">
      <w:pPr>
        <w:adjustRightInd w:val="0"/>
        <w:snapToGrid w:val="0"/>
        <w:spacing w:after="0"/>
        <w:jc w:val="center"/>
        <w:rPr>
          <w:rFonts w:cs="Arial"/>
        </w:rPr>
      </w:pPr>
    </w:p>
    <w:p w:rsidR="00007491" w:rsidRDefault="00007491" w:rsidP="0078511B">
      <w:pPr>
        <w:adjustRightInd w:val="0"/>
        <w:snapToGrid w:val="0"/>
        <w:spacing w:after="0"/>
        <w:jc w:val="center"/>
        <w:rPr>
          <w:rFonts w:cs="Arial"/>
          <w:b/>
          <w:bCs/>
        </w:rPr>
      </w:pPr>
      <w:r w:rsidRPr="00EC04BA">
        <w:rPr>
          <w:rFonts w:cs="Arial"/>
          <w:b/>
          <w:bCs/>
        </w:rPr>
        <w:t>NGUYÊN TẮC ÁP DỤNG</w:t>
      </w:r>
    </w:p>
    <w:p w:rsidR="00007491" w:rsidRPr="00EC04BA" w:rsidRDefault="00007491" w:rsidP="0078511B">
      <w:pPr>
        <w:adjustRightInd w:val="0"/>
        <w:snapToGrid w:val="0"/>
        <w:spacing w:after="0"/>
        <w:jc w:val="center"/>
        <w:rPr>
          <w:rFonts w:cs="Arial"/>
        </w:rPr>
      </w:pPr>
    </w:p>
    <w:p w:rsidR="00007491" w:rsidRPr="00EC04BA" w:rsidRDefault="00007491" w:rsidP="00EC04BA">
      <w:pPr>
        <w:jc w:val="both"/>
        <w:rPr>
          <w:rFonts w:cs="Arial"/>
        </w:rPr>
      </w:pPr>
      <w:r w:rsidRPr="00EC04BA">
        <w:rPr>
          <w:rFonts w:cs="Arial"/>
        </w:rPr>
        <w:t>Nguyên tắc sử dụng danh mục này như sau:</w:t>
      </w:r>
    </w:p>
    <w:p w:rsidR="00007491" w:rsidRPr="00EC04BA" w:rsidRDefault="00007491" w:rsidP="00EC04BA">
      <w:pPr>
        <w:jc w:val="both"/>
        <w:rPr>
          <w:rFonts w:cs="Arial"/>
        </w:rPr>
      </w:pPr>
      <w:r w:rsidRPr="00EC04BA">
        <w:rPr>
          <w:rFonts w:cs="Arial"/>
        </w:rPr>
        <w:t>1. Trường hợp chỉ liệt kê mã 2 số thì toàn bộ các mã 8 số thuộc Chương này đều được áp dụng.</w:t>
      </w:r>
    </w:p>
    <w:p w:rsidR="00007491" w:rsidRPr="00EC04BA" w:rsidRDefault="00007491" w:rsidP="00EC04BA">
      <w:pPr>
        <w:jc w:val="both"/>
        <w:rPr>
          <w:rFonts w:cs="Arial"/>
        </w:rPr>
      </w:pPr>
      <w:r w:rsidRPr="00EC04BA">
        <w:rPr>
          <w:rFonts w:cs="Arial"/>
        </w:rPr>
        <w:t>2. Trường hợp chỉ liệt kê mã 4 số thì toàn bộ các mã 8 số thuộc nhóm 4 số này đều được áp dụng.</w:t>
      </w:r>
    </w:p>
    <w:p w:rsidR="00007491" w:rsidRPr="00EC04BA" w:rsidRDefault="00007491" w:rsidP="00EC04BA">
      <w:pPr>
        <w:jc w:val="both"/>
        <w:rPr>
          <w:rFonts w:cs="Arial"/>
        </w:rPr>
      </w:pPr>
      <w:r w:rsidRPr="00EC04BA">
        <w:rPr>
          <w:rFonts w:cs="Arial"/>
        </w:rPr>
        <w:t>3. Trường hợp chỉ liệt kê mã 6 số thì toàn bộ các mã 8 số thuộc phân nhóm 6 số này đều được áp dụng.</w:t>
      </w:r>
    </w:p>
    <w:p w:rsidR="00007491" w:rsidRPr="00EC04BA" w:rsidRDefault="00007491" w:rsidP="00EC04BA">
      <w:pPr>
        <w:jc w:val="both"/>
        <w:rPr>
          <w:rFonts w:cs="Arial"/>
        </w:rPr>
      </w:pPr>
      <w:r w:rsidRPr="00EC04BA">
        <w:rPr>
          <w:rFonts w:cs="Arial"/>
        </w:rPr>
        <w:t>4. Trường hợp liệt kê chi tiết đến mã 8 số thì chỉ những mã 8 số đó mới được áp dụng.</w:t>
      </w:r>
    </w:p>
    <w:p w:rsidR="00007491" w:rsidRPr="00EC04BA" w:rsidRDefault="00007491" w:rsidP="0078511B">
      <w:pPr>
        <w:adjustRightInd w:val="0"/>
        <w:snapToGrid w:val="0"/>
        <w:jc w:val="both"/>
        <w:rPr>
          <w:rFonts w:cs="Arial"/>
        </w:rPr>
      </w:pPr>
      <w:r w:rsidRPr="00EC04BA">
        <w:rPr>
          <w:rFonts w:cs="Arial"/>
        </w:rPr>
        <w:t>5. Đối với các mặt hàng tiêu dùng, phương tiện đã qua sử dụng cấm nhập khẩu thì phụ tùng, linh kiện, bộ phận đã qua sử dụng (nếu có) của những mặt hàng đó cũng cấm nhập khẩu. Trường hợp chưa có mã hàng trong danh mục này thì việc xác định mã hàng của phụ tùng, linh kiện, bộ phận thực hiện theo mô tả thực tế của hàng hóa và Danh mục hàng hóa xuất khẩu, nhập khẩu Việt Nam và các văn bản quy phạm pháp luật sửa đổi, bổ sung Danh mục hàng hóa xuất khẩu, nhập khẩu Việt Nam.</w:t>
      </w:r>
    </w:p>
    <w:p w:rsidR="00007491" w:rsidRPr="00EC04BA" w:rsidRDefault="00007491" w:rsidP="0078511B">
      <w:pPr>
        <w:adjustRightInd w:val="0"/>
        <w:snapToGrid w:val="0"/>
        <w:jc w:val="both"/>
        <w:rPr>
          <w:rFonts w:cs="Arial"/>
        </w:rPr>
      </w:pPr>
      <w:r w:rsidRPr="00EC04BA">
        <w:rPr>
          <w:rFonts w:cs="Arial"/>
        </w:rPr>
        <w:t>6. Việc áp dụng cột "Mã hàng" và cột "Mô tả hàng hóa" tại danh mục này thực hiện theo Danh mục hàng hóa xuất khẩu, nhập khẩu Việt Nam và các văn bản quy phạm pháp luật sửa đổi, bổ sung Danh mục hàng hóa xuất khẩu, nhập khẩu Việt Nam.</w:t>
      </w:r>
    </w:p>
    <w:p w:rsidR="00007491" w:rsidRPr="00EC04BA" w:rsidRDefault="00007491" w:rsidP="00EC04BA">
      <w:pPr>
        <w:jc w:val="both"/>
        <w:rPr>
          <w:rFonts w:cs="Arial"/>
        </w:rPr>
      </w:pPr>
      <w:r w:rsidRPr="00EC04BA">
        <w:rPr>
          <w:rFonts w:cs="Arial"/>
          <w:b/>
          <w:bCs/>
        </w:rPr>
        <w:t>I. DANH MỤC HÀNG TIÊU DÙNG ĐÃ QUA SỬ DỤNG CẤM NHẬP KHẨU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387"/>
        <w:gridCol w:w="5411"/>
        <w:gridCol w:w="2218"/>
      </w:tblGrid>
      <w:tr w:rsidR="00007491" w:rsidRPr="00EC04BA" w:rsidTr="0078511B">
        <w:trPr>
          <w:trHeight w:val="227"/>
        </w:trPr>
        <w:tc>
          <w:tcPr>
            <w:tcW w:w="769" w:type="pct"/>
            <w:tcMar>
              <w:top w:w="60" w:type="dxa"/>
              <w:left w:w="80" w:type="dxa"/>
              <w:bottom w:w="60" w:type="dxa"/>
              <w:right w:w="80" w:type="dxa"/>
            </w:tcMar>
            <w:vAlign w:val="center"/>
          </w:tcPr>
          <w:p w:rsidR="00007491" w:rsidRPr="00EC04BA" w:rsidRDefault="00007491" w:rsidP="0078511B">
            <w:pPr>
              <w:adjustRightInd w:val="0"/>
              <w:snapToGrid w:val="0"/>
              <w:spacing w:after="0"/>
              <w:jc w:val="center"/>
              <w:rPr>
                <w:rFonts w:cs="Arial"/>
              </w:rPr>
            </w:pPr>
            <w:r w:rsidRPr="00EC04BA">
              <w:rPr>
                <w:rFonts w:cs="Arial"/>
                <w:b/>
                <w:bCs/>
              </w:rPr>
              <w:t xml:space="preserve">Mã hàng </w:t>
            </w:r>
            <w:r>
              <w:rPr>
                <w:rFonts w:cs="Arial"/>
                <w:b/>
                <w:bCs/>
              </w:rPr>
              <w:br/>
            </w:r>
            <w:r w:rsidRPr="00EC04BA">
              <w:rPr>
                <w:rFonts w:cs="Arial"/>
                <w:b/>
                <w:bCs/>
              </w:rPr>
              <w:t>(Mã HS)</w:t>
            </w:r>
          </w:p>
        </w:tc>
        <w:tc>
          <w:tcPr>
            <w:tcW w:w="3001" w:type="pct"/>
            <w:tcMar>
              <w:top w:w="60" w:type="dxa"/>
              <w:left w:w="80" w:type="dxa"/>
              <w:bottom w:w="60" w:type="dxa"/>
              <w:right w:w="80" w:type="dxa"/>
            </w:tcMar>
            <w:vAlign w:val="center"/>
          </w:tcPr>
          <w:p w:rsidR="00007491" w:rsidRPr="00EC04BA" w:rsidRDefault="00007491" w:rsidP="0078511B">
            <w:pPr>
              <w:adjustRightInd w:val="0"/>
              <w:snapToGrid w:val="0"/>
              <w:spacing w:after="0"/>
              <w:jc w:val="center"/>
              <w:rPr>
                <w:rFonts w:cs="Arial"/>
              </w:rPr>
            </w:pPr>
            <w:r w:rsidRPr="00EC04BA">
              <w:rPr>
                <w:rFonts w:cs="Arial"/>
                <w:b/>
                <w:bCs/>
              </w:rPr>
              <w:t>Mô tả hàng hóa</w:t>
            </w:r>
          </w:p>
        </w:tc>
        <w:tc>
          <w:tcPr>
            <w:tcW w:w="1230" w:type="pct"/>
            <w:tcMar>
              <w:top w:w="60" w:type="dxa"/>
              <w:left w:w="80" w:type="dxa"/>
              <w:bottom w:w="60" w:type="dxa"/>
              <w:right w:w="80" w:type="dxa"/>
            </w:tcMar>
            <w:vAlign w:val="center"/>
          </w:tcPr>
          <w:p w:rsidR="00007491" w:rsidRPr="00EC04BA" w:rsidRDefault="00007491" w:rsidP="0078511B">
            <w:pPr>
              <w:adjustRightInd w:val="0"/>
              <w:snapToGrid w:val="0"/>
              <w:spacing w:after="0"/>
              <w:jc w:val="center"/>
              <w:rPr>
                <w:rFonts w:cs="Arial"/>
              </w:rPr>
            </w:pPr>
            <w:r w:rsidRPr="00EC04BA">
              <w:rPr>
                <w:rFonts w:cs="Arial"/>
                <w:b/>
                <w:bCs/>
              </w:rPr>
              <w:t>Lưu ý</w:t>
            </w: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39.18</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Tấm trải sàn bằng plastic, có hoặc không tự dính, dạng cuộn hoặc dạng tấm rời để ghép; tấm phủ tường hoặc phủ trần bằng plastic, như đã nêu trong Chú giải 9 của Chương này</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39.22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Bồn tắm, bồn tắm vòi sen, bồn rửa, chậu rửa, bệ rửa vệ sinh (bidets), bệ và nắp xí bệt, bình xả nước và các thiết bị vệ sinh tương tự, bằng plastic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39.24</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Bộ đồ ăn, bộ đồ dùng nhà bếp, các sản phẩm gia dụng khác và các sản phẩm phục vụ vệ sinh, bằng plastic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39.25</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Đồ vật bằng plastic dùng trong xây lắp, chưa được chi tiết hoặc ghi ở nơi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39.26</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Các sản phẩm khác bằng plastic và các sản phẩm bằng các vật liệu khác của các nhóm từ 39.01 đến 39.14</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Trừ khuôn plastic lấy dấu răng (mã HS: 3926.90.32); các sản phẩm y tế và phẫu thuật khác bằng plastic và bằng các vật liệu khác của các nhóm từ 39.01 đến 39.14 (mã HS: 3926.90.39); lá chắn bảo vệ của cảnh sát (mã HS: 3926.90.41); các sản phẩm dùng cho công nghiệp (mã HS: 3926.90.53, 3926.90.55, 3926.90.59, 3926.90.60); khuôn (phom) bằng plastic dùng trong sản xuất giày, dép (mã HS: 3926.90.81); đinh phản quang bằng nhựa (mã HS: 3926.90.99)</w:t>
            </w: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40.15</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Sản phẩm may mặc và đồ phụ trợ may mặc (kể cả găng tay, găng hở ngón và găng bao tay), dùng cho mọi mục đích, bằng cao su lưu hóa trừ cao su cứng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Găng tay, găng tay hở ngón và găng bao tay</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4015.19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40.16</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Các sản phẩm khác bằng cao su lưu hóa trừ cao su cứng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4016.91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Tấm phủ sàn và tấm, đệm trải sàn (mat)</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4016.99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4016.99.91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 Khăn trải bàn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4016.99.99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4201.00.00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Yên cương và bộ yên cương dùng cho các loại động vật (kể cả dây kéo, dây dắt, miếng đệm đầu gối, đai hoặc rọ bịt mõm, vải lót yên, túi yên, áo chó và các loại tương tự), làm bằng vật liệu bất kỳ</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42.02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Hòm, vali, xắc đựng đồ nữ trang, cặp tài liệu, cặp sách, túi, cặp đeo vai cho học sinh, bao kính, bao ống nhòm, hộp camera, hộp nhạc cụ, bao súng, bao súng ngắn và các loại đồ chứa tương tự; túi du lịch, túi đựng đồ ăn hoặc đồ uống có phủ lớp cách, túi đựng đồ vệ sinh cá nhân, ba lô, túi xách tay, túi đi chợ, xắc cốt, ví, túi đựng bản đồ, hộp đựng thuốc lá điếu, hộp đựng thuốc lá sợi, túi đựng dụng cụ, túi thể thao, túi đựng chai rượu, hộp đựng đồ trang sức, hộp đựng phấn, hộp đựng dao kéo và các loại đồ chứa tương tự bằng da thuộc hoặc da thuộc tổng hợp, bằng tấm plastic, bằng vật liệu dệt, bằng sợi lưu hóa hoặc bằng bìa, hoặc được phủ toàn bộ hoặc chủ yếu bằng các vật liệu trên hoặc bằng giấy</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42.03</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Hàng may mặc và đồ phụ trợ quần áo, bằng da thuộc hoặc bằng da thuộc tổng hợp</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43.03</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Hàng may mặc, đồ phụ trợ quần áo và các vật phẩm khác bằng da lông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Trừ sản phẩm dùng cho mục đích công nghiệp (mã HS: 4303.90.20)</w:t>
            </w: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43.04</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Da lông nhân tạo và các sản phẩm làm bằng da lông nhân tạo</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Trừ sản phẩm dùng cho mục đích công nghiệp (mã HS: 4304.00.20)</w:t>
            </w: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44.14</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Khung tranh, khung ảnh, khung gương bằng gỗ hoặc các sản phẩm bằng gỗ tương tự</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44.19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Bộ đồ ăn và bộ đồ làm bếp, bằng gỗ</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44.20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Gỗ khảm và dát; tráp và các loại hộp đựng đồ trang sức hoặc đựng dao kéo, và các sản phẩm tương tự, bằng gỗ; tượng nhỏ và đồ trang trí khác, bằng gỗ; các loại đồ nội thất bằng gỗ không thuộc Chương 94</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44.21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Các sản phẩm bằng gỗ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Chương 46</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Toàn bộ chương 46</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48.14</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Giấy dán tường và các loại tấm phủ tường tương tự; tấm che cửa sổ trong suốt bằng giấy</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4814.20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Giấy dán tường và các loại tấm phủ tường tương tự, bao gồm giấy đã được tráng hoặc phủ, trên bề mặt, bằng một lớp plastic có hạt nổi, rập nổi, nhuộm màu, in hình hoặc trang trí cách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48.23</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Giấy, bìa, tấm xenlulo và màng xơ sợi xenlulo khác, đã cắt theo kích cỡ hoặc hình dạng; các vật phẩm khác bằng bột giấy, giấy, bìa, tấm xenlulo hoặc màng xơ sợi xenlulo</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Khay, bát, đĩa, cốc, chén và các sản phẩm tương tự, bằng giấy hoặc bìa</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4823.61.00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Từ tre (bamboo)</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4823.69.00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4823.90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4823.90.70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Quạt và màn che kéo bằng tay</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4910.00.00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Các loại lịch in, kể cả bloc lịch</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50.07</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Vải dệt thoi dệt từ tơ tằm hoặc từ phế liệu tơ tằm</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51.11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Vải dệt thoi từ sợi len lông cừu chải thô hoặc từ sợi lông động vật loại mịn chải thô</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51.12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Vải dệt thoi từ sợi len lông cừu chải kỹ hoặc từ sợi lông động vật loại mịn chải kỹ</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5113.00.00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Vải dệt thoi từ sợi lông động vật loại thô hoặc sợi lông đuôi hoặc bờm ngựa</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52.08</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Vải dệt thoi từ bông, có hàm lượng bông chiếm từ 85% trở lên tính theo khối lượng, định lượng không quá 200 g/m²</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52.09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Vải dệt thoi từ bông, có hàm lượng bông chiếm từ 85% trở lên tính theo khối lượng, định lượng trên 200 g/m²</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52.10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Vải dệt thoi từ bông, có hàm lượng bông chiếm dưới 85% tính theo khối lượng, pha chủ yếu hoặc pha duy nhất với xơ sợi nhân tạo, có định lượng không quá 200 g/m²</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52.11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Vải dệt thoi từ bông, có hàm lượng bông chiếm dưới 85% tính theo khối lượng, pha chủ yếu hoặc pha duy nhất với xơ sợi nhân tạo, có định lượng trên 200 g/m²</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52.12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Vải dệt thoi khác từ bông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53.09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Vải dệt thoi từ sợi lanh</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53.10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Vải dệt thoi từ sợi đay hoặc từ các loại xơ libe dệt khác thuộc nhóm 53.03</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53.11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Vải dệt thoi từ các loại sợi dệt gốc thực vật khác; vải dệt thoi từ sợi giấy</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54.07</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Vải dệt thoi bằng sợi filament tổng hợp, kể cả vải dệt thoi thu được từ các nguyên liệu thuộc nhóm 54.04</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54.08</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Vải dệt thoi bằng sợi filament tái tạo, kể cả vải dệt thoi thu được từ các nguyên liệu thuộc nhóm 54.05</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55.12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Các loại vải dệt thoi từ xơ staple tổng hợp, có hàm lượng loại xơ này chiếm từ 85% trở lên tính theo khối lượng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55.13</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Vải dệt thoi bằng xơ staple tổng hợp, có hàm lượng loại xơ này chiếm dưới 85% tính theo khối lượng, pha chủ yếu hoặc pha duy nhất với bông, định lượng không quá 170 g/m²</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55.14</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Vải dệt thoi bằng xơ staple tổng hợp, có hàm lượng loại xơ này chiếm dưới 85% tính theo khối lượng, pha chủ yếu hoặc pha duy nhất với bông, định lượng trên 170 g/m²</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55.15</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Các loại vải dệt thoi khác từ xơ staple tổng hợp</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55.16</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Vải dệt thoi từ xơ staple tái tạo</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Chương 57</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Toàn bộ chương 57</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Chương 58</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Toàn bộ chương 58</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Chương 60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Toàn bộ chương 60</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Chương 61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Toàn bộ chương 61</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Trừ tất, vớ dùng cho người giãn tĩnh mạch, từ sợi tổng hợp (mã HS: 6115.10.10)</w:t>
            </w: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Chương 62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Toàn bộ chương 62</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Trừ áo phẫu thuật (từ sợi nhân tạo) (mã HS: 6211.43.10); hàng may mặc từ bông, loại có tính đàn hồi bó chặt để điều trị mô vết sẹo và ghép da (mã HS: 6212.90.11); hàng may mặc từ vật liệu dệt khác (trừ bông), loại có tính đàn hồi bó chặt để điều trị mô vết sẹo và ghép da (mã HS: 6212.90.91)</w:t>
            </w: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63.01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Chăn và chăn du lịch</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63.02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Vỏ ga, vỏ gối, khăn trải giường (bed linen), khăn trải bàn, khăn trong phòng vệ sinh và khăn nhà bếp</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63.03</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Màn che (kể cả rèm trang trí) và rèm mờ che phía trong; diềm màn che hoặc diềm giường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63.04</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Các sản phẩm trang trí nội thất khác, trừ các loại thuộc nhóm 94.04</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63.07</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Các mặt hàng đã hoàn thiện khác, kể cả mẫu cắt may</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6307.10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Khăn lau sàn, khăn lau bát đĩa, khăn lau bụi và các loại khăn lau tương tự</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6308.00.00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Bộ vải bao gồm vải dệt thoi và chỉ, có hoặc không có phụ kiện, dùng để làm chăn, thảm trang trí, khăn trải bàn hoặc khăn ăn đã thêu, hoặc các sản phẩm dệt tương tự, đóng gói sẵn để bán lẻ</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6309.00.00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Quần áo và các sản phẩm dệt may đã qua sử dụng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Chương 64</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Toàn bộ chương 64</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Trừ các bộ phận của giày, dép (kể cả mũ giày đã hoặc chưa gắn đế trừ đế ngoài); miếng lót của giày, dép có thể tháo rời, đệm gót chân và các sản phẩm tương tự; ghệt, ống ôm sát chân (leggings) và các sản phẩm tương tự, và các bộ phận của chúng (mã HS: 64.06)</w:t>
            </w: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6504.00.00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Các loại mũ và các vật đội đầu khác, được làm bằng cách tết hoặc ghép các dải làm bằng chất liệu bất kỳ, đã hoặc chưa có lót hoặc trang trí</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65.05</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Các loại mũ và các vật đội đầu khác, dệt kim hoặc móc, hoặc làm từ ren, nỉ hoặc vải dệt khác, ở dạng mảnh (trừ dạng dải), đã hoặc chưa lót hoặc trang trí; lưới bao tóc bằng vật liệu bất kỳ, đã hoặc chưa có lót hoặc trang trí</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65.06</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Mũ và các vật đội đầu khác, đã hoặc chưa lót hoặc trang trí</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6506.91.00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Bằng cao su hoặc plastic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6506.99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Bằng các loại vật liệu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66.01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Các loại ô và dù (kể cả ô có cán là ba toong, dù che trong vườn và các loại ô, dù tương tự)</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6602.00.00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Ba toong, gậy tay cầm có thể chuyển thành ghế, roi, gậy điều khiển, roi điều khiển súc vật thồ, kéo và các loại tương tự</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67.02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Hoa, cành, lá, quả nhân tạo và các phần của chúng; các sản phẩm làm bằng hoa, cành, lá hoặc quả nhân tạo</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6703.00.00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Tóc người, đã được chải, chuốt, tẩy hoặc xử lý bằng cách khác; lông cừu hoặc lông động vật khác hoặc các loại vật liệu dệt khác, được chế biến để dùng làm tóc giả hoặc sản phẩm tương tự</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67.04</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Tóc giả, râu, lông mi, lông mày giả, tóc độn và các loại sản phẩm tương tự, bằng tóc người hoặc lông động vật hoặc các loại vật liệu dệt; các sản phẩm bằng tóc người chưa được chi tiết hoặc ghi ở nơi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69.10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Bồn rửa, chậu rửa, bệ chậu rửa, bồn tắm, bệ rửa vệ sinh (bidets), bệ xí, bình xối nước, bệ đi tiểu và các sản phẩm vệ sinh tương tự bằng gốm, sứ gắn cố định</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69.11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Bộ đồ ăn, bộ đồ nhà bếp, đồ gia dụng và đồ sứ vệ sinh khác, bằng sứ</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6912.00.00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Bộ đồ ăn, bộ đồ nhà bếp, đồ gia dụng và đồ vệ sinh bằng gốm, trừ loại bằng sứ</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69.13</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Các loại tượng nhỏ và các loại sản phẩm trang trí bằng gốm, sứ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69.14</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Các sản phẩm bằng gốm, sứ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70.13</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Bộ đồ ăn, đồ nhà bếp, đồ vệ sinh, đồ dùng văn phòng, đồ trang trí nội thất hoặc đồ dùng cho các mục đích tương tự bằng thủy tinh (trừ các sản phẩm thuộc nhóm 70.10 hoặc 70.18)</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71.17</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Đồ trang sức làm bằng chất liệu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73.21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Bếp, bếp có lò nướng, vỉ lò, bếp nấu (kể cả loại có nồi hơi phụ dùng cho hệ thống gia nhiệt trung tâm), vỉ nướng, lò nướng, lò ga hình vòng, dụng cụ hâm nóng dạng tấm và các loại đồ dùng gia đình không dùng điện tương tự, và các bộ phận của chúng, bằng sắt hoặc thép</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73.23</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Bộ đồ ăn, đồ nhà bếp hoặc các loại đồ gia dụng khác và các bộ phận của chúng, bằng sắt hoặc thép; bùi nhùi bằng sắt hoặc thép; miếng cọ nồi và cọ rửa hoặc đánh bóng, găng tay và các loại tương tự, bằng sắt hoặc thép</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73.24</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Thiết bị vệ sinh và các bộ phận của chúng, bằng sắt hoặc thép</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74.18</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Bộ đồ ăn, đồ nhà bếp hoặc đồ gia dụng khác và các bộ phận của chúng, bằng đồng; miếng cọ nồi và cọ rửa hoặc đánh bóng, găng tay và các loại tương tự, bằng đồng; đồ trang bị trong nhà vệ sinh và các bộ phận của chúng, bằng đồng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76.15</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Bộ đồ ăn, đồ nhà bếp hoặc các loại đồ gia dụng khác và các bộ phận của chúng, bằng nhôm; miếng dùng để cọ nồi và cọ rửa hoặc đánh bóng, găng tay và các loại tương tự bằng nhôm; đồ trang bị trong nhà vệ sinh và các bộ phận của chúng, bằng nhôm</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8210.00.00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Đồ dùng cơ khí hoạt động bằng tay, nặng 10 kg trở xuống, dùng để chế biến, pha chế hoặc phục vụ đồ ăn hoặc đồ uống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82.11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Dao có lưỡi cắt, có hoặc không có răng cưa (kể cả dao tỉa), trừ loại dao thuộc nhóm 82.08, và lưỡi của nó</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8211.91.00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Dao ăn có lưỡi cố định</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82.12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Dao cạo và lưỡi dao cạo (kể cả lưỡi dao cạo chưa hoàn thiện ở dạng dải)</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82.14</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Đồ dao kéo khác (ví dụ, tông đơ cắt tóc, dao pha dùng cho cửa hàng thịt hoặc làm bếp, dao bầu và dao băm, dao rọc giấy); bộ đồ và dụng cụ cắt sửa móng tay hoặc móng chân (kể cả dũa móng)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8214.20.00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Bộ đồ và dụng cụ cắt sửa móng tay hoặc móng chân (kể cả dũa móng)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82.15</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Thìa, dĩa, muôi, thìa hớt kem, hớt bọt, đồ xúc bánh, dao ăn cá, dao cắt bơ, kẹp gắp đường và các loại đồ dùng nhà bếp hoặc bộ đồ ăn tương tự</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83.01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Khóa móc và ổ khóa (loại mở bằng chìa, số hoặc điện), bằng kim loại cơ bản; móc cài và khung có móc cài, đi cùng ổ khóa, bằng kim loại cơ bản; chìa của các loại khóa trên, bằng kim loại cơ bản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8301.30.00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Ổ khóa thuộc loại sử dụng cho đồ nội thất</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8301.70.00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Chìa rời</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83.02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Giá, khung, phụ kiện và các sản phẩm tương tự bằng kim loại cơ bản dùng cho đồ nội thất, cho cửa ra vào, cầu thang, cửa sổ, mành che, thân xe (coachwork), yên cương, rương, hòm hoặc các loại tương tự; giá để mũ, mắc mũ, chân giá đỡ và các loại giá cố định tương tự bằng kim loại cơ bản; bánh xe đẩy (castor) có giá đỡ bằng kim loại cơ bản; cơ cấu đóng cửa tự động bằng kim loại cơ bản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Giá, khung, phụ kiện và các sản phẩm tương tự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8302.42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 phù hợp cho đồ nội thất</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8302.50.00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Giá để mũ, mắc mũ, chân giá đỡ và các loại giá cố định tương tự</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83.06</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Chuông, chuông đĩa và các loại tương tự, không dùng điện, bằng kim loại cơ bản; tượng nhỏ và đồ trang trí khác, bằng kim loại cơ bản; khung ảnh, khung tranh hoặc các loại khung tương tự, bằng kim loại cơ bản; gương bằng kim loại cơ bản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84.14</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Bơm không khí hoặc bơm chân không, máy nén không khí hoặc chất khí khác và quạt; nắp chụp hút tuần hoàn gió hoặc thông gió có kèm theo quạt, có hoặc không lắp bộ phận lọc; tủ an toàn sinh học kín khí, có hoặc không lắp bộ phận lọc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Quạt</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8414.51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Quạt bàn, quạt sàn, quạt tường, quạt cửa sổ, quạt trần hoặc quạt mái, có động cơ điện gắn liền với công suất không quá 125 W</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Trừ quạt công nghiệp</w:t>
            </w: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8414.59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Trừ quạt công nghiệp</w:t>
            </w: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8414.90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Bộ phận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Của quạt</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Trừ bộ phận của quạt công nghiệp</w:t>
            </w: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8414.90.21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Của hàng hóa thuộc nhóm 84.15, 84.18, 85.09 hoặc 85.16</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8414.90.22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Của máy thổi khí</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8414.90.29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84.15</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Máy điều hòa không khí, gồm có một quạt chạy bằng mô tơ và các bộ phận làm thay đổi nhiệt độ và độ ẩm, kể cả loại máy không điều chỉnh độ ẩm một cách riêng biệt</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8415.10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Loại thiết kế để lắp vào cửa sổ, tường, trần hoặc sàn, kiểu một khối (lắp liền trong cùng một vỏ, một cục) hoặc "hệ thống nhiều khối chức năng" (cục nóng, cục lạnh tách biệt)</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8415.20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Loại sử dụng cho người, trong xe có động cơ</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8415.81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Kèm theo một bộ phận làm lạnh và một van đảo chiều chu trình nóng/lạnh (bơm nhiệt có đảo chiều)</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8415.82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 có kèm theo bộ phận làm lạnh</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8415.83</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Không gắn kèm bộ phận làm lạnh</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8415.90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Bộ phận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Của máy có công suất làm mát không quá 21,10 kW</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8415.90.19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Chỉ bao gồm bộ phận của các mặt hàng có mã HS: 8415.10, 8415.20, 8415.81, 8415.82, 8415.83</w:t>
            </w: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84.18</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Tủ lạnh, tủ kết đông và thiết bị làm lạnh hoặc kết đông khác, loại dùng điện hoặc loại khác; bơm nhiệt trừ máy điều hòa không khí thuộc nhóm 84.15</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8418.10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Tủ kết đông lạnh liên hợp (dạng thiết bị có buồng làm đá và làm lạnh riêng biệt), có các cửa mở riêng biệt hoặc ngăn kéo ngoài riêng biệt, hoặc dạng kết hợp của chúng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Chỉ có các cửa mở riêng biệt</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8418.10.31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Loại gia dụng, có dung tích không quá 230 lít</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8418.10.39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Tủ lạnh, loại sử dụng trong gia đình</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8418.21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sử dụng máy nén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8418.29.00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8418.30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Tủ kết đông, loại cửa trên, dung tích không quá 800 lít</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8418.30.10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Dung tích không quá 200 lít</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8418.40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Tủ kết đông, loại cửa trước, dung tích không quá 900 lít</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8418.40.10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Dung tích không quá 200 lít</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Bộ phận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8418.99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Chỉ bao gồm bộ phận của các các mặt hàng có mã HS: 8418.10.31, 8418.10.39, 8418.29.00, 8418.30.10, 8418.40.10, 8418.21</w:t>
            </w: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Thiết bị cho phòng thí nghiệm hoặc máy, thiết bị, gia nhiệt bằng điện hoặc không bằng điện (trừ lò luyện, nung, sấy và các thiết bị khác thuộc nhóm 85.14) để xử lý các loại vật liệu bằng quá trình thay đổi nhiệt như làm nóng, nấu, rang, chưng cất, tinh cất, sát trùng, thanh trùng, phun hơi nước, sấy, làm bay hơi, làm khô, ngưng tụ hoặc làm mát trừ các loại máy hoặc thiết bị dùng cho gia đình; thiết bị đun nước nóng nhanh hoặc thiết bị đun nước nóng có dự trữ, không dùng điện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Thiết bị đun nước nóng nhanh hoặc thiết bị đun nước nóng có dự trữ, không dùng điện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8419.11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Thiết bị đun nước nóng nhanh bằng ga</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8419.11.10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Loại sử dụng trong gia đình</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8419.19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8419.19.10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Loại sử dụng trong gia đình</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Máy và thiết bị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8419.81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Để làm nóng đồ uống hoặc nấu hoặc hâm nóng thực phẩm</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8419.90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Bộ phận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Của thiết bị không hoạt động bằng điện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8419.90.22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Của thiết bị đun nước nóng nhanh bằng ga, loại sử dụng trong gia đình</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84.21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Máy ly tâm, kể cả máy làm khô bằng ly tâm; máy và thiết bị lọc hoặc tinh chế chất lỏng hoặc chất khí</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Máy ly tâm, kể cả máy làm khô bằng ly tâm</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8421.12.00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Máy làm khô quần áo</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Máy và thiết bị lọc hoặc tinh chế chất lỏng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8421.21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Để lọc hoặc tinh chế nước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Công suất lọc không quá 500 lít/giờ</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8421.21.11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 Máy và thiết bị lọc sử dụng trong gia đình</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Bộ phận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8421.91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Của máy ly tâm, kể cả máy làm khô bằng ly tâm</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8421.91.10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Của hàng hóa thuộc phân nhóm 8421.12.00</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8421.99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8421.99.94</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 Của hàng hóa thuộc phân nhóm 8421.21.11</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84.22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Máy rửa bát đĩa; máy làm sạch hoặc làm khô chai lọ hoặc các loại đồ chứa khác; máy rót, đóng kín, gắn xi, đóng nắp hoặc dán nhãn vào các chai, lon, hộp, túi hoặc đồ chứa khác; máy bọc chai lọ, ống và các loại đồ chứa tương tự; máy đóng gói hoặc bao gói khác (kể cả máy bọc màng co nhiệt); máy nạp ga cho đồ uống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Máy rửa bát đĩa</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8422.11.00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sử dụng trong gia đình</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8422.90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Bộ phận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8422.90.10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Của các máy thuộc phân nhóm 8422.11</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84.23</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Cân (trừ loại cân đo có độ nhạy 5 cg hoặc nhạy hơn), kể cả máy đếm hoặc máy kiểm tra, hoạt động bằng nguyên lý cân; các loại quả cân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8423.10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Cân người, kể cả cân trẻ em; cân sử dụng trong gia đình</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Cân trọng lượng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8423.81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Có khả năng cân tối đa không quá 30 kg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84.50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Máy giặt gia đình hoặc trong hiệu giặt, kể cả máy giặt có chức năng sấy khô</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Máy giặt, có sức chứa không quá 10 kg vải khô một lần giặt</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8450.11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Máy tự động hoàn toàn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8450.12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Máy giặt khác, có chức năng sấy ly tâm</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8450.19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8450.90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Bộ phận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8450.90.20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Của máy thuộc phân nhóm 8450.11, 8450.12 hoặc 8450.19</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84.51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Các loại máy (trừ máy thuộc nhóm 84.50) dùng để giặt, làm sạch, vắt, sấy, là hơi, ép (kể cả ép mếch), tẩy trắng, nhuộm, hồ bóng, hoàn tất, tráng phủ hoặc ngâm tẩm sợi, vải dệt hoặc hàng dệt đã hoàn thiện và các máy dùng để phết hồ lên lớp vải đ</w:t>
            </w:r>
            <w:r>
              <w:rPr>
                <w:rFonts w:cs="Arial"/>
              </w:rPr>
              <w:t>ế</w:t>
            </w:r>
            <w:r w:rsidRPr="00EC04BA">
              <w:rPr>
                <w:rFonts w:cs="Arial"/>
              </w:rPr>
              <w:t xml:space="preserve"> hoặc lớp vải nền khác, dùng trong sản xuất hàng trải sàn như vải sơn lót sàn; máy để quấn, tở (xả), gấp, cắt hoặc cắt hình răng cưa vải dệt</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8451.30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Máy là và là hơi ép (kể cả ép mếch)</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8451.30.10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Máy là trục đơn, loại gia dụng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84.52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Máy khâu, trừ các loại máy khâu sách thuộc nhóm 84.40; bàn, tủ, chân máy và nắp thiết kế chuyên dùng cho các loại máy khâu; kim máy khâu</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8452.10.00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Máy khâu dùng cho gia đình</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8452.90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Bàn, tủ, chân máy và nắp cho máy khâu và các bộ phận của chúng; bộ phận khác của máy khâu</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Của máy thuộc phân nhóm 8452.10.00</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8452.90.11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Thân trên và thân dưới máy; đế đỡ có hoặc không có khung; bánh đà; bộ phận che chắn dây đai; bàn đạp các loại</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8452.90.12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Bàn, tủ, chân máy và nắp và các bộ phận của chúng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8452.90.19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85.08</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Máy hút bụi</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Có động cơ điện gắn liền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8508.11.00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Công suất không quá 1.500 W và có túi hứng bụi hoặc đồ chứa khác với sức chứa không quá 20 lít</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8508.19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8508.19.10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Loại phù hợp dùng cho mục đích gia dụng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8508.70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Bộ phận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8508.70.10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Của máy hút bụi thuộc phân nhóm 8508.11.00 hoặc 8508.19.10</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85.09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Thiết bị cơ điện gia dụng có động cơ điện gắn liền, trừ máy hút bụi của nhóm 85.08</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85.10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Máy cạo, tông đơ và các dụng cụ loại bỏ râu, lông, tóc, có động cơ điện gắn liền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85.16</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Dụng cụ điện đun nước nóng tức thời hoặc đun nước nóng có dự trữ và đun nước nóng kiểu nhúng; dụng cụ điện làm nóng không gian và làm nóng đất; dụng cụ nhiệt điện làm tóc (ví dụ, máy sấy tóc, máy uốn tóc, dụng cụ kẹp uốn tóc) và máy sấy làm khô tay; bàn là điện; dụng cụ nhiệt điện gia dụng khác; các loại điện trở đốt nóng bằng điện, trừ loại thuộc nhóm 85.45</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Trừ các mặt hàng có mã HS: 8516.40.10, 8516.80, 8516.90</w:t>
            </w: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85.19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Thiết bị ghi hoặc tái tạo âm thanh</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8519.30.00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Đầu quay đĩa (có thể có bộ phận lưu trữ) nhưng không có bộ phận khuếch đại và không có bộ phận phát âm thanh (loa)</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Thiết bị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8519.81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Thiết bị truyền thông sử dụng công nghệ từ tính, quang học hoặc bán dẫn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8519.81.10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Máy ghi âm cassette bỏ túi, kích thước không quá 170 mm x 100 mm x 45 mm</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8519.81.20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Máy ghi âm cassette, có bộ phận khuếch đại và một hoặc nhiều loa, hoạt động chỉ bằng nguồn điện ngoài</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8519.81.30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Đầu đĩa compact</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Máy sao âm</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8519.81.49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Máy ghi băng từ có gắn với thiết bị tái tạo âm thanh, loại âm thanh số</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8519.81.69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Thiết bị tái tạo âm thanh khác, kiểu cassette</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8519.81.79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8519.81.99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85.21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Thiết bị ghi hoặc tái tạo video, có hoặc không gắn bộ phận thu tín hiệu video</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85.22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Bộ phận và phụ kiện chỉ dùng hoặc chủ yếu dùng cho các thiết bị của nhóm 85.19 hoặc 85.21</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85.29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Bộ phận chỉ dùng hoặc chủ yếu dùng với các thiết bị thuộc các nhóm từ 85.24 đến 85.28</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85.39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Bóng đèn dây tóc hoặc bóng đèn phóng điện, kể cả đèn pha gắn kín và bóng đèn tia cực tím hoặc tia hồng ngoại; bóng đèn hồ quang; nguồn sáng đi-ốt phát quang (LED)</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Các loại bóng đèn dây tóc khác, trừ bóng đèn tia cực tím hoặc tia hồng ngoại</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8539.22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 có công suất không quá 200 W và điện áp trên 100 V</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8539.22.91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 Loại dùng trong chiếu sáng trang trí, công suất không quá 60 W</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8539.22.93</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 Loại khác, dùng cho chiếu sáng gia dụng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8539.22.99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8539.29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8539.29.50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Loại khác, có công suất trên 200 W nhưng không quá 300 W và điện áp trên 100 V</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Bóng đèn phóng, trừ đèn tia cực tím</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8539.31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Bóng đèn huỳnh quang, ca-tốt nóng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8539.31.10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Ống huỳnh quang dùng cho đèn huỳnh quang com-pắc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8539.31.90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8539.39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9004.10.00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Kính râm</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90.19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Thiết bị trị liệu cơ học; máy xoa bóp; máy thử nghiệm trạng thái tâm lý; máy trị liệu bằng ôzôn, bằng oxy, bằng xông, máy hô hấp nhân tạo hoặc máy hô hấp trị liệu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90.20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Thiết bị thở và mặt nạ phòng khí khác, trừ các mặt nạ bảo hộ mà không có bộ phận cơ khí hoặc không có phin lọc có thể thay thế được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91.01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Đồng hồ đeo tay, đồng hồ bỏ túi và các loại đồng hồ cá nhân khác, kể cả đồng hồ bấm giờ, với vỏ làm bằng kim loại quý hoặc kim loại dát phủ kim loại quý</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91.02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Đồng hồ đeo tay, đồng hồ bỏ túi và các loại đồng hồ cá nhân khác, kể cả đồng hồ bấm giờ, trừ các loại thuộc nhóm 91.01</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91.03</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Đồng hồ thời gian có lắp máy đồng hồ cá nhân, trừ các loại đồng hồ thời gian thuộc nhóm 91.04</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91.05</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Đồng hồ thời gian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Trừ đồng hồ hàng hải đo thời gian (mã HS: 9105.91.10, 9105.99.10)</w:t>
            </w: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Ghế ngồi (trừ các loại thuộc nhóm 94.02), có hoặc không chuyển được thành giường, và bộ phận của chúng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Ghế quay có điều chỉnh độ cao</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9401.31.00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Bằng gỗ</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9401.39.00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Ghế có thể chuyển thành giường, trừ ghế trong vườn hoặc đồ cắm trại</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9401.41.00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Bằng gỗ</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9401.49.00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Ghế bằng mây, liễu gai, tre hoặc các vật liệu tương tự</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9401.52.00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Bằng tre</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9401.53.00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Bằng song, mây</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Ghế khác, có khung bằng gỗ</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9401.61.00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Đã nhồi đệm</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9401.69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Ghế khác, có khung bằng kim loại</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9401.71.00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Đã nhồi đệm</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9401.79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9401.80.00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Ghế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94.03</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Đồ nội thất khác và các bộ phận của chúng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9403.10.00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Đồ nội thất bằng kim loại được sử dụng trong văn phòng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9403.20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Đồ nội thất bằng kim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9403.30.00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Đồ nội thất bằng gỗ loại sử dụng trong văn phòng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9403.40.00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Đồ nội thất bằng gỗ loại sử dụng trong nhà bếp</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9403.50.00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Đồ nội thất bằng gỗ loại sử dụng trong phòng ngủ</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9403.60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Đồ nội thất bằng gỗ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9403.70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Đồ nội thất bằng plastic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Đồ nội thất bằng vật liệu khác, kể cả mây, liễu gai, tre hoặc các vật liệu tương tự</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9403.82.00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Bằng tre</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9403.83.00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Bằng song, mây</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9403.89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94.04</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Khung đệm; các mặt hàng thuộc bộ đồ giường và các loại tương tự (ví dụ, đệm, chăn quilt, chăn nhồi lông, nệm, đệm ghế loại dài và gối) có gắn lò xo hoặc nhồi hoặc lắp bên trong bằng vật liệu bất kỳ hoặc bằng cao su xốp hoặc plastic xốp, có hoặc không bọc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94.05</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Đèn (luminaires) và bộ đèn kể cả đèn pha và đèn rọi và bộ phận của chúng, chưa được chi tiết hoặc ghi ở nơi khác; biển hiệu được chiếu sáng, biển đề tên được chiếu sáng và các loại tương tự, có nguồn sáng cố định thường xuyên, và bộ phận của chúng chưa được chi tiết hoặc ghi ở nơi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Bộ đèn chùm và đèn điện trần hoặc đèn điện tường khác, trừ các loại được sử dụng ở các không gian mở công cộng hoặc đường phố lớn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9405.19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9405.19.92</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 Đèn gắn bóng đèn huỳnh quang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9405.19.99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Đèn bàn, đèn giường hoặc đèn cây dùng điện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9405.21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Được thiết kế chỉ để sử dụng với các nguồn sáng đi-ốt phát quang (LED)</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9405.21.90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9405.29.90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Dây đèn dùng cho cây Nô-en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9405.31.00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Được thiết kế chỉ để sử dụng với các nguồn sáng đi-ốt phát quang (LED)</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9405.39.00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9405.50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Đèn và bộ đèn không hoạt động bằng điện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đốt bằng dầu</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9405.50.11</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Bằng đồng sử dụng trong nghi lễ tôn giáo</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9405.50.19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9405.50.40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Đèn bão</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9405.50.90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Bộ phận</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9405.99</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9405.99.30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 Của đèn thuộc phân nhóm 9405.50.11 hoặc 9405.50.19</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95.04</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Các máy và thiết bị trò chơi điện tử video, các trò chơi trên bàn hoặc trong phòng khách, kể cả trò chơi bắn bi (pin-table), bi-a, bàn chuyên dùng dùng cho trò chơi ở sòng bạc và thiết bị chơi bowling tự động, máy giải trí hoạt động bằng đồng xu, tiền giấy, thẻ ngân hàng, token hoặc bất kỳ phương tiện thanh toán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95.05</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Đồ dùng trong lễ hội, hội hóa trang hoặc trong các trò chơi giải trí khác, kể cả các mặt hàng dùng cho trò chơi ảo thuật và trò vui cười</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96.03</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Chổi, bàn chải (kể cả các loại bàn chải là những bộ phận của máy, dụng cụ hoặc xe), dụng cụ cơ học vận hành bằng tay để quét sàn, không có động cơ, giẻ lau sàn và chổi bằng lông vũ; túm và búi đã làm sẵn để làm chổi hoặc bàn chải; miếng thấm và con lăn để sơn hoặc vẽ; chổi cao su (trừ con lăn bằng cao su)</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Bàn chải đánh răng, chổi xoa bọt cạo râu, bàn chải chải tóc, chổi sơn móng tay, chải mi mắt và bàn chải vệ sinh khác dùng cho người, kể cả bàn chải tương tự là bộ phận của các dụng cụ</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9603.21.00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Bàn chải đánh răng, kể cả bàn chải dùng cho răng mạ</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9603.29.00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9603.90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Loại khác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9605.00.00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Bộ đồ du lịch dùng cho vệ sinh cá nhân, bộ đồ khâu hoặc bộ đồ làm sạch giày dép hoặc quần áo</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96.13</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Bật lửa châm thuốc lá và các bật lửa khác, có hoặc không dùng cơ hoặc điện, và các bộ phận của chúng trừ đá lửa và bấc</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96.14</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Tẩu thuốc (kể cả điếu bát) và đót xì gà hoặc đót thuốc lá, và bộ phận của chúng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96.15</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Lược, trâm cài tóc và loại tương tự; ghim cài tóc, cặp uốn tóc, kẹp uốn tóc, lô cuộn tóc và loại tương tự, trừ các loại thuộc nhóm 85.16, và bộ phận của chúng</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96.17</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Phích chân không và các loại bình chân không khác, hoàn chỉnh; bộ phận của chúng trừ ruột thủy tinh</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9617.00.10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Phích chân không và các loại bình chân không khác, hoàn chỉnh</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rPr>
          <w:trHeight w:val="227"/>
        </w:trPr>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9617.00.20</w:t>
            </w:r>
          </w:p>
        </w:tc>
        <w:tc>
          <w:tcPr>
            <w:tcW w:w="3001"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 Các bộ phận, trừ ruột thủy tinh</w:t>
            </w:r>
          </w:p>
        </w:tc>
        <w:tc>
          <w:tcPr>
            <w:tcW w:w="1230"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bl>
    <w:p w:rsidR="00007491" w:rsidRPr="00EC04BA" w:rsidRDefault="00007491" w:rsidP="00EC04BA">
      <w:pPr>
        <w:jc w:val="both"/>
        <w:rPr>
          <w:rFonts w:cs="Arial"/>
        </w:rPr>
      </w:pPr>
    </w:p>
    <w:p w:rsidR="00007491" w:rsidRPr="00EC04BA" w:rsidRDefault="00007491" w:rsidP="00EC04BA">
      <w:pPr>
        <w:jc w:val="both"/>
        <w:rPr>
          <w:rFonts w:cs="Arial"/>
        </w:rPr>
      </w:pPr>
      <w:r w:rsidRPr="00EC04BA">
        <w:rPr>
          <w:rFonts w:cs="Arial"/>
          <w:b/>
          <w:bCs/>
        </w:rPr>
        <w:t>II. DANH MỤC PHƯƠNG TIỆN ĐÃ QUA SỬ DỤNG CẤM NHẬP KHẨU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1386"/>
        <w:gridCol w:w="5722"/>
        <w:gridCol w:w="1908"/>
      </w:tblGrid>
      <w:tr w:rsidR="00007491" w:rsidRPr="00EC04BA" w:rsidTr="0078511B">
        <w:trPr>
          <w:tblHeader/>
        </w:trPr>
        <w:tc>
          <w:tcPr>
            <w:tcW w:w="769" w:type="pct"/>
            <w:tcMar>
              <w:top w:w="60" w:type="dxa"/>
              <w:left w:w="80" w:type="dxa"/>
              <w:bottom w:w="60" w:type="dxa"/>
              <w:right w:w="80" w:type="dxa"/>
            </w:tcMar>
            <w:vAlign w:val="center"/>
          </w:tcPr>
          <w:p w:rsidR="00007491" w:rsidRPr="00EC04BA" w:rsidRDefault="00007491" w:rsidP="0078511B">
            <w:pPr>
              <w:adjustRightInd w:val="0"/>
              <w:snapToGrid w:val="0"/>
              <w:spacing w:after="0"/>
              <w:jc w:val="center"/>
              <w:rPr>
                <w:rFonts w:cs="Arial"/>
              </w:rPr>
            </w:pPr>
            <w:r w:rsidRPr="00EC04BA">
              <w:rPr>
                <w:rFonts w:cs="Arial"/>
                <w:b/>
                <w:bCs/>
              </w:rPr>
              <w:t xml:space="preserve">Mã hàng </w:t>
            </w:r>
            <w:r>
              <w:rPr>
                <w:rFonts w:cs="Arial"/>
                <w:b/>
                <w:bCs/>
              </w:rPr>
              <w:br/>
            </w:r>
            <w:r w:rsidRPr="00EC04BA">
              <w:rPr>
                <w:rFonts w:cs="Arial"/>
                <w:b/>
                <w:bCs/>
              </w:rPr>
              <w:t>(Mã HS)</w:t>
            </w:r>
          </w:p>
        </w:tc>
        <w:tc>
          <w:tcPr>
            <w:tcW w:w="3173" w:type="pct"/>
            <w:tcMar>
              <w:top w:w="60" w:type="dxa"/>
              <w:left w:w="80" w:type="dxa"/>
              <w:bottom w:w="60" w:type="dxa"/>
              <w:right w:w="80" w:type="dxa"/>
            </w:tcMar>
            <w:vAlign w:val="center"/>
          </w:tcPr>
          <w:p w:rsidR="00007491" w:rsidRPr="00EC04BA" w:rsidRDefault="00007491" w:rsidP="0078511B">
            <w:pPr>
              <w:adjustRightInd w:val="0"/>
              <w:snapToGrid w:val="0"/>
              <w:spacing w:after="0"/>
              <w:jc w:val="center"/>
              <w:rPr>
                <w:rFonts w:cs="Arial"/>
              </w:rPr>
            </w:pPr>
            <w:r w:rsidRPr="00EC04BA">
              <w:rPr>
                <w:rFonts w:cs="Arial"/>
                <w:b/>
                <w:bCs/>
              </w:rPr>
              <w:t>Mô tả hàng hóa</w:t>
            </w:r>
          </w:p>
        </w:tc>
        <w:tc>
          <w:tcPr>
            <w:tcW w:w="1058" w:type="pct"/>
            <w:tcMar>
              <w:top w:w="60" w:type="dxa"/>
              <w:left w:w="80" w:type="dxa"/>
              <w:bottom w:w="60" w:type="dxa"/>
              <w:right w:w="80" w:type="dxa"/>
            </w:tcMar>
            <w:vAlign w:val="center"/>
          </w:tcPr>
          <w:p w:rsidR="00007491" w:rsidRPr="00EC04BA" w:rsidRDefault="00007491" w:rsidP="0078511B">
            <w:pPr>
              <w:adjustRightInd w:val="0"/>
              <w:snapToGrid w:val="0"/>
              <w:spacing w:after="0"/>
              <w:jc w:val="center"/>
              <w:rPr>
                <w:rFonts w:cs="Arial"/>
              </w:rPr>
            </w:pPr>
            <w:r w:rsidRPr="00EC04BA">
              <w:rPr>
                <w:rFonts w:cs="Arial"/>
                <w:b/>
                <w:bCs/>
              </w:rPr>
              <w:t>Lưu ý</w:t>
            </w:r>
          </w:p>
        </w:tc>
      </w:tr>
      <w:tr w:rsidR="00007491" w:rsidRPr="00EC04BA" w:rsidTr="0078511B">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87.11</w:t>
            </w:r>
          </w:p>
        </w:tc>
        <w:tc>
          <w:tcPr>
            <w:tcW w:w="3173"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Mô tô (kể cả xe gắn máy có bàn đạp (moped)) và xe đạp có gắn động cơ phụ trợ, có hoặc không có thùng xe bên cạnh; thùng xe có bánh (side-cars)</w:t>
            </w:r>
          </w:p>
        </w:tc>
        <w:tc>
          <w:tcPr>
            <w:tcW w:w="1058" w:type="pct"/>
            <w:tcMar>
              <w:top w:w="60" w:type="dxa"/>
              <w:left w:w="80" w:type="dxa"/>
              <w:bottom w:w="60" w:type="dxa"/>
              <w:right w:w="80" w:type="dxa"/>
            </w:tcMar>
          </w:tcPr>
          <w:p w:rsidR="00007491" w:rsidRPr="00EC04BA" w:rsidRDefault="00007491" w:rsidP="0078511B">
            <w:pPr>
              <w:adjustRightInd w:val="0"/>
              <w:snapToGrid w:val="0"/>
              <w:spacing w:after="0"/>
              <w:rPr>
                <w:rFonts w:cs="Arial"/>
              </w:rPr>
            </w:pPr>
          </w:p>
        </w:tc>
      </w:tr>
      <w:tr w:rsidR="00007491" w:rsidRPr="00EC04BA" w:rsidTr="0078511B">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87.12</w:t>
            </w:r>
          </w:p>
        </w:tc>
        <w:tc>
          <w:tcPr>
            <w:tcW w:w="3173"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Xe đạp hai bánh và xe đạp khác (kể cả xe xích lô ba bánh chở hàng), không lắp động cơ</w:t>
            </w:r>
          </w:p>
        </w:tc>
        <w:tc>
          <w:tcPr>
            <w:tcW w:w="1058"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Trừ xe đạp đua (mã HS: 8712.00.10)</w:t>
            </w:r>
          </w:p>
        </w:tc>
      </w:tr>
      <w:tr w:rsidR="00007491" w:rsidRPr="00EC04BA" w:rsidTr="0078511B">
        <w:tc>
          <w:tcPr>
            <w:tcW w:w="769"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87.14</w:t>
            </w:r>
          </w:p>
        </w:tc>
        <w:tc>
          <w:tcPr>
            <w:tcW w:w="3173"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Bộ phận và phụ kiện của xe thuộc các nhóm từ 87.11 đến 87.13</w:t>
            </w:r>
          </w:p>
        </w:tc>
        <w:tc>
          <w:tcPr>
            <w:tcW w:w="1058" w:type="pct"/>
            <w:tcMar>
              <w:top w:w="60" w:type="dxa"/>
              <w:left w:w="80" w:type="dxa"/>
              <w:bottom w:w="60" w:type="dxa"/>
              <w:right w:w="80" w:type="dxa"/>
            </w:tcMar>
          </w:tcPr>
          <w:p w:rsidR="00007491" w:rsidRPr="00EC04BA" w:rsidRDefault="00007491" w:rsidP="0078511B">
            <w:pPr>
              <w:adjustRightInd w:val="0"/>
              <w:snapToGrid w:val="0"/>
              <w:spacing w:after="0"/>
              <w:rPr>
                <w:rFonts w:cs="Arial"/>
              </w:rPr>
            </w:pPr>
            <w:r w:rsidRPr="00EC04BA">
              <w:rPr>
                <w:rFonts w:cs="Arial"/>
              </w:rPr>
              <w:t>Trừ bộ phận và phụ tùng của xe thuộc nhóm 8713</w:t>
            </w:r>
          </w:p>
        </w:tc>
      </w:tr>
    </w:tbl>
    <w:p w:rsidR="00007491" w:rsidRPr="00EC04BA" w:rsidRDefault="00007491" w:rsidP="00EC04BA">
      <w:pPr>
        <w:jc w:val="both"/>
        <w:rPr>
          <w:rFonts w:cs="Arial"/>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7F0470"/>
    <w:multiLevelType w:val="hybridMultilevel"/>
    <w:tmpl w:val="BA083AEE"/>
    <w:lvl w:ilvl="0" w:tplc="1766224E">
      <w:start w:val="1"/>
      <w:numFmt w:val="bullet"/>
      <w:lvlText w:val="●"/>
      <w:lvlJc w:val="left"/>
      <w:pPr>
        <w:ind w:left="720" w:hanging="360"/>
      </w:pPr>
    </w:lvl>
    <w:lvl w:ilvl="1" w:tplc="7D92B39A">
      <w:start w:val="1"/>
      <w:numFmt w:val="bullet"/>
      <w:lvlText w:val="○"/>
      <w:lvlJc w:val="left"/>
      <w:pPr>
        <w:ind w:left="1440" w:hanging="360"/>
      </w:pPr>
    </w:lvl>
    <w:lvl w:ilvl="2" w:tplc="AA8E9D22">
      <w:start w:val="1"/>
      <w:numFmt w:val="bullet"/>
      <w:lvlText w:val="■"/>
      <w:lvlJc w:val="left"/>
      <w:pPr>
        <w:ind w:left="2160" w:hanging="360"/>
      </w:pPr>
    </w:lvl>
    <w:lvl w:ilvl="3" w:tplc="B03C95DE">
      <w:start w:val="1"/>
      <w:numFmt w:val="bullet"/>
      <w:lvlText w:val="●"/>
      <w:lvlJc w:val="left"/>
      <w:pPr>
        <w:ind w:left="2880" w:hanging="360"/>
      </w:pPr>
    </w:lvl>
    <w:lvl w:ilvl="4" w:tplc="E5A4649E">
      <w:start w:val="1"/>
      <w:numFmt w:val="bullet"/>
      <w:lvlText w:val="○"/>
      <w:lvlJc w:val="left"/>
      <w:pPr>
        <w:ind w:left="3600" w:hanging="360"/>
      </w:pPr>
    </w:lvl>
    <w:lvl w:ilvl="5" w:tplc="68AC121A">
      <w:start w:val="1"/>
      <w:numFmt w:val="bullet"/>
      <w:lvlText w:val="■"/>
      <w:lvlJc w:val="left"/>
      <w:pPr>
        <w:ind w:left="4320" w:hanging="360"/>
      </w:pPr>
    </w:lvl>
    <w:lvl w:ilvl="6" w:tplc="EEC492B8">
      <w:start w:val="1"/>
      <w:numFmt w:val="bullet"/>
      <w:lvlText w:val="●"/>
      <w:lvlJc w:val="left"/>
      <w:pPr>
        <w:ind w:left="5040" w:hanging="360"/>
      </w:pPr>
    </w:lvl>
    <w:lvl w:ilvl="7" w:tplc="0F709452">
      <w:start w:val="1"/>
      <w:numFmt w:val="bullet"/>
      <w:lvlText w:val="●"/>
      <w:lvlJc w:val="left"/>
      <w:pPr>
        <w:ind w:left="5760" w:hanging="360"/>
      </w:pPr>
    </w:lvl>
    <w:lvl w:ilvl="8" w:tplc="B374DED2">
      <w:start w:val="1"/>
      <w:numFmt w:val="bullet"/>
      <w:lvlText w:val="●"/>
      <w:lvlJc w:val="left"/>
      <w:pPr>
        <w:ind w:left="6480" w:hanging="360"/>
      </w:pPr>
    </w:lvl>
  </w:abstractNum>
  <w:num w:numId="1" w16cid:durableId="3866091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491"/>
    <w:rsid w:val="00007491"/>
    <w:rsid w:val="00225B67"/>
    <w:rsid w:val="003E1C24"/>
    <w:rsid w:val="004F7570"/>
    <w:rsid w:val="00556DE7"/>
    <w:rsid w:val="007E0D6E"/>
    <w:rsid w:val="00987B06"/>
    <w:rsid w:val="00AB7B9F"/>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803F4A-C803-4A2A-853B-4B899644D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74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74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749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749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0749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00749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0749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0749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0749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74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74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749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749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0749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0749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0749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0749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0749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0749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74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749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749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0749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07491"/>
    <w:rPr>
      <w:i/>
      <w:iCs/>
      <w:color w:val="404040" w:themeColor="text1" w:themeTint="BF"/>
    </w:rPr>
  </w:style>
  <w:style w:type="paragraph" w:styleId="ListParagraph">
    <w:name w:val="List Paragraph"/>
    <w:basedOn w:val="Normal"/>
    <w:qFormat/>
    <w:rsid w:val="00007491"/>
    <w:pPr>
      <w:ind w:left="720"/>
      <w:contextualSpacing/>
    </w:pPr>
  </w:style>
  <w:style w:type="character" w:styleId="IntenseEmphasis">
    <w:name w:val="Intense Emphasis"/>
    <w:basedOn w:val="DefaultParagraphFont"/>
    <w:uiPriority w:val="21"/>
    <w:qFormat/>
    <w:rsid w:val="00007491"/>
    <w:rPr>
      <w:i/>
      <w:iCs/>
      <w:color w:val="2F5496" w:themeColor="accent1" w:themeShade="BF"/>
    </w:rPr>
  </w:style>
  <w:style w:type="paragraph" w:styleId="IntenseQuote">
    <w:name w:val="Intense Quote"/>
    <w:basedOn w:val="Normal"/>
    <w:next w:val="Normal"/>
    <w:link w:val="IntenseQuoteChar"/>
    <w:uiPriority w:val="30"/>
    <w:qFormat/>
    <w:rsid w:val="000074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7491"/>
    <w:rPr>
      <w:i/>
      <w:iCs/>
      <w:color w:val="2F5496" w:themeColor="accent1" w:themeShade="BF"/>
    </w:rPr>
  </w:style>
  <w:style w:type="character" w:styleId="IntenseReference">
    <w:name w:val="Intense Reference"/>
    <w:basedOn w:val="DefaultParagraphFont"/>
    <w:uiPriority w:val="32"/>
    <w:qFormat/>
    <w:rsid w:val="00007491"/>
    <w:rPr>
      <w:b/>
      <w:bCs/>
      <w:smallCaps/>
      <w:color w:val="2F5496" w:themeColor="accent1" w:themeShade="BF"/>
      <w:spacing w:val="5"/>
    </w:rPr>
  </w:style>
  <w:style w:type="paragraph" w:customStyle="1" w:styleId="Strong1">
    <w:name w:val="Strong1"/>
    <w:qFormat/>
    <w:rsid w:val="00007491"/>
    <w:pPr>
      <w:spacing w:after="0"/>
    </w:pPr>
    <w:rPr>
      <w:rFonts w:ascii="Times New Roman" w:eastAsia="Times New Roman" w:hAnsi="Times New Roman" w:cs="Times New Roman"/>
      <w:b/>
      <w:bCs/>
      <w:szCs w:val="20"/>
      <w:lang w:val="id-ID" w:eastAsia="id-ID"/>
    </w:rPr>
  </w:style>
  <w:style w:type="character" w:styleId="Hyperlink">
    <w:name w:val="Hyperlink"/>
    <w:uiPriority w:val="99"/>
    <w:unhideWhenUsed/>
    <w:rsid w:val="00007491"/>
    <w:rPr>
      <w:color w:val="0563C1"/>
      <w:u w:val="single"/>
    </w:rPr>
  </w:style>
  <w:style w:type="character" w:styleId="FootnoteReference">
    <w:name w:val="footnote reference"/>
    <w:uiPriority w:val="99"/>
    <w:semiHidden/>
    <w:unhideWhenUsed/>
    <w:rsid w:val="00007491"/>
    <w:rPr>
      <w:vertAlign w:val="superscript"/>
    </w:rPr>
  </w:style>
  <w:style w:type="paragraph" w:styleId="FootnoteText">
    <w:name w:val="footnote text"/>
    <w:link w:val="FootnoteTextChar"/>
    <w:uiPriority w:val="99"/>
    <w:semiHidden/>
    <w:unhideWhenUsed/>
    <w:rsid w:val="00007491"/>
    <w:pPr>
      <w:spacing w:after="0"/>
    </w:pPr>
    <w:rPr>
      <w:rFonts w:ascii="Times New Roman" w:eastAsia="Times New Roman" w:hAnsi="Times New Roman" w:cs="Times New Roman"/>
      <w:szCs w:val="20"/>
      <w:lang w:val="id-ID" w:eastAsia="id-ID"/>
    </w:rPr>
  </w:style>
  <w:style w:type="character" w:customStyle="1" w:styleId="FootnoteTextChar">
    <w:name w:val="Footnote Text Char"/>
    <w:basedOn w:val="DefaultParagraphFont"/>
    <w:link w:val="FootnoteText"/>
    <w:uiPriority w:val="99"/>
    <w:semiHidden/>
    <w:rsid w:val="00007491"/>
    <w:rPr>
      <w:rFonts w:ascii="Times New Roman" w:eastAsia="Times New Roman" w:hAnsi="Times New Roman" w:cs="Times New Roman"/>
      <w:szCs w:val="20"/>
      <w:lang w:val="id-ID" w:eastAsia="id-ID"/>
    </w:rPr>
  </w:style>
  <w:style w:type="character" w:styleId="EndnoteReference">
    <w:name w:val="endnote reference"/>
    <w:uiPriority w:val="99"/>
    <w:semiHidden/>
    <w:unhideWhenUsed/>
    <w:rsid w:val="00007491"/>
    <w:rPr>
      <w:vertAlign w:val="superscript"/>
    </w:rPr>
  </w:style>
  <w:style w:type="paragraph" w:styleId="EndnoteText">
    <w:name w:val="endnote text"/>
    <w:link w:val="EndnoteTextChar"/>
    <w:uiPriority w:val="99"/>
    <w:semiHidden/>
    <w:unhideWhenUsed/>
    <w:rsid w:val="00007491"/>
    <w:pPr>
      <w:spacing w:after="0"/>
    </w:pPr>
    <w:rPr>
      <w:rFonts w:ascii="Times New Roman" w:eastAsia="Times New Roman" w:hAnsi="Times New Roman" w:cs="Times New Roman"/>
      <w:szCs w:val="20"/>
      <w:lang w:val="id-ID" w:eastAsia="id-ID"/>
    </w:rPr>
  </w:style>
  <w:style w:type="character" w:customStyle="1" w:styleId="EndnoteTextChar">
    <w:name w:val="Endnote Text Char"/>
    <w:basedOn w:val="DefaultParagraphFont"/>
    <w:link w:val="EndnoteText"/>
    <w:uiPriority w:val="99"/>
    <w:semiHidden/>
    <w:rsid w:val="00007491"/>
    <w:rPr>
      <w:rFonts w:ascii="Times New Roman" w:eastAsia="Times New Roman" w:hAnsi="Times New Roman" w:cs="Times New Roman"/>
      <w:szCs w:val="20"/>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4299</Words>
  <Characters>24508</Characters>
  <Application>Microsoft Office Word</Application>
  <DocSecurity>0</DocSecurity>
  <Lines>204</Lines>
  <Paragraphs>57</Paragraphs>
  <ScaleCrop>false</ScaleCrop>
  <Company/>
  <LinksUpToDate>false</LinksUpToDate>
  <CharactersWithSpaces>28750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2026-09-11T09:07:00Z</dcterms:created>
  <dcterms:modified xsi:type="dcterms:W3CDTF">2026-09-11T09:07:00Z</dcterms:modified>
</cp:coreProperties>
</file>