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0" w:after="0"/>
        <w:ind w:hanging="0" w:start="0" w:end="0"/>
        <w:jc w:val="center"/>
        <w:rPr>
          <w:rFonts w:ascii="Arial;sans-serif" w:hAnsi="Arial;sans-serif"/>
          <w:b/>
          <w:i w:val="false"/>
          <w:caps w:val="false"/>
          <w:smallCaps w:val="false"/>
          <w:strike w:val="false"/>
          <w:dstrike w:val="false"/>
          <w:color w:val="000000"/>
          <w:spacing w:val="0"/>
          <w:sz w:val="18"/>
          <w:u w:val="none"/>
          <w:effect w:val="none"/>
          <w:lang w:val="vi-VN"/>
        </w:rPr>
      </w:pPr>
      <w:bookmarkStart w:id="0" w:name="chuong_pl_3"/>
      <w:bookmarkEnd w:id="0"/>
      <w:r>
        <w:rPr>
          <w:rFonts w:ascii="Arial;sans-serif" w:hAnsi="Arial;sans-serif"/>
          <w:b/>
          <w:i w:val="false"/>
          <w:caps w:val="false"/>
          <w:smallCaps w:val="false"/>
          <w:strike w:val="false"/>
          <w:dstrike w:val="false"/>
          <w:color w:val="000000"/>
          <w:spacing w:val="0"/>
          <w:sz w:val="18"/>
          <w:u w:val="none"/>
          <w:effect w:val="none"/>
          <w:lang w:val="vi-VN"/>
        </w:rPr>
        <w:t>PHỤ LỤC III</w:t>
      </w:r>
    </w:p>
    <w:p>
      <w:pPr>
        <w:pStyle w:val="BodyText"/>
        <w:widowControl/>
        <w:pBdr/>
        <w:bidi w:val="0"/>
        <w:spacing w:lineRule="atLeast" w:line="225" w:before="0" w:after="0"/>
        <w:ind w:hanging="0" w:start="0" w:end="0"/>
        <w:jc w:val="center"/>
        <w:rPr>
          <w:rFonts w:ascii="Arial;Helvetica;sans-serif" w:hAnsi="Arial;Helvetica;sans-serif"/>
          <w:b w:val="false"/>
          <w:i w:val="false"/>
          <w:caps w:val="false"/>
          <w:smallCaps w:val="false"/>
          <w:color w:val="000000"/>
          <w:spacing w:val="0"/>
          <w:sz w:val="18"/>
          <w:lang w:val="nl-NL"/>
        </w:rPr>
      </w:pPr>
      <w:bookmarkStart w:id="1" w:name="chuong_pl_3_name"/>
      <w:bookmarkEnd w:id="1"/>
      <w:r>
        <w:rPr>
          <w:rFonts w:ascii="Arial;sans-serif" w:hAnsi="Arial;sans-serif"/>
          <w:b w:val="false"/>
          <w:i w:val="false"/>
          <w:caps w:val="false"/>
          <w:smallCaps w:val="false"/>
          <w:strike w:val="false"/>
          <w:dstrike w:val="false"/>
          <w:color w:val="000000"/>
          <w:spacing w:val="0"/>
          <w:sz w:val="20"/>
          <w:u w:val="none"/>
          <w:effect w:val="none"/>
          <w:lang w:val="vi-VN"/>
        </w:rPr>
        <w:t>CÔNG BỐ THÔNG TIN TRƯỚC ĐỢT CHÀO BÁN TRÁI PHIẾU</w:t>
      </w:r>
      <w:r>
        <w:rPr>
          <w:rFonts w:ascii="Arial;sans-serif" w:hAnsi="Arial;sans-serif"/>
          <w:b w:val="false"/>
          <w:i w:val="false"/>
          <w:caps w:val="false"/>
          <w:smallCaps w:val="false"/>
          <w:color w:val="000000"/>
          <w:spacing w:val="0"/>
          <w:sz w:val="20"/>
          <w:lang w:val="vi-VN"/>
        </w:rPr>
        <w:br/>
      </w:r>
      <w:r>
        <w:rPr>
          <w:rFonts w:ascii="Arial;sans-serif" w:hAnsi="Arial;sans-serif"/>
          <w:b w:val="false"/>
          <w:i/>
          <w:caps w:val="false"/>
          <w:smallCaps w:val="false"/>
          <w:color w:val="000000"/>
          <w:spacing w:val="0"/>
          <w:sz w:val="20"/>
          <w:lang w:val="vi-VN"/>
        </w:rPr>
        <w:t>(Ban hành kèm theo Thông tư số </w:t>
      </w:r>
      <w:r>
        <w:rPr>
          <w:rFonts w:ascii="Arial;sans-serif" w:hAnsi="Arial;sans-serif"/>
          <w:b w:val="false"/>
          <w:i/>
          <w:caps w:val="false"/>
          <w:smallCaps w:val="false"/>
          <w:color w:val="000000"/>
          <w:spacing w:val="0"/>
          <w:sz w:val="20"/>
          <w:lang w:val="en-GB"/>
        </w:rPr>
        <w:t>138</w:t>
      </w:r>
      <w:r>
        <w:rPr>
          <w:rFonts w:ascii="Arial;sans-serif" w:hAnsi="Arial;sans-serif"/>
          <w:b w:val="false"/>
          <w:i/>
          <w:caps w:val="false"/>
          <w:smallCaps w:val="false"/>
          <w:color w:val="000000"/>
          <w:spacing w:val="0"/>
          <w:sz w:val="20"/>
          <w:lang w:val="vi-VN"/>
        </w:rPr>
        <w:t>/2026/TT-BTC ngày</w:t>
      </w:r>
      <w:r>
        <w:rPr>
          <w:rFonts w:ascii="Arial;Helvetica;sans-serif" w:hAnsi="Arial;Helvetica;sans-serif"/>
          <w:b w:val="false"/>
          <w:i w:val="false"/>
          <w:caps w:val="false"/>
          <w:smallCaps w:val="false"/>
          <w:color w:val="000000"/>
          <w:spacing w:val="0"/>
          <w:sz w:val="18"/>
          <w:lang w:val="nl-NL"/>
        </w:rPr>
        <w:t> </w:t>
      </w:r>
      <w:r>
        <w:rPr>
          <w:rFonts w:ascii="Arial;sans-serif" w:hAnsi="Arial;sans-serif"/>
          <w:b w:val="false"/>
          <w:i/>
          <w:caps w:val="false"/>
          <w:smallCaps w:val="false"/>
          <w:color w:val="000000"/>
          <w:spacing w:val="0"/>
          <w:sz w:val="20"/>
          <w:lang w:val="en-GB"/>
        </w:rPr>
        <w:t>25</w:t>
      </w:r>
      <w:r>
        <w:rPr>
          <w:rFonts w:ascii="Arial;Helvetica;sans-serif" w:hAnsi="Arial;Helvetica;sans-serif"/>
          <w:b w:val="false"/>
          <w:i w:val="false"/>
          <w:caps w:val="false"/>
          <w:smallCaps w:val="false"/>
          <w:color w:val="000000"/>
          <w:spacing w:val="0"/>
          <w:sz w:val="18"/>
          <w:lang w:val="nl-NL"/>
        </w:rPr>
        <w:t> </w:t>
      </w:r>
      <w:r>
        <w:rPr>
          <w:rFonts w:ascii="Arial;sans-serif" w:hAnsi="Arial;sans-serif"/>
          <w:b w:val="false"/>
          <w:i/>
          <w:caps w:val="false"/>
          <w:smallCaps w:val="false"/>
          <w:color w:val="000000"/>
          <w:spacing w:val="0"/>
          <w:sz w:val="20"/>
          <w:lang w:val="vi-VN"/>
        </w:rPr>
        <w:t>tháng</w:t>
      </w:r>
      <w:r>
        <w:rPr>
          <w:rFonts w:ascii="Arial;Helvetica;sans-serif" w:hAnsi="Arial;Helvetica;sans-serif"/>
          <w:b w:val="false"/>
          <w:i w:val="false"/>
          <w:caps w:val="false"/>
          <w:smallCaps w:val="false"/>
          <w:color w:val="000000"/>
          <w:spacing w:val="0"/>
          <w:sz w:val="18"/>
          <w:lang w:val="nl-NL"/>
        </w:rPr>
        <w:t> </w:t>
      </w:r>
      <w:r>
        <w:rPr>
          <w:rFonts w:ascii="Arial;sans-serif" w:hAnsi="Arial;sans-serif"/>
          <w:b w:val="false"/>
          <w:i/>
          <w:caps w:val="false"/>
          <w:smallCaps w:val="false"/>
          <w:color w:val="000000"/>
          <w:spacing w:val="0"/>
          <w:sz w:val="20"/>
          <w:lang w:val="en-GB"/>
        </w:rPr>
        <w:t>9</w:t>
      </w:r>
      <w:r>
        <w:rPr>
          <w:rFonts w:ascii="Arial;Helvetica;sans-serif" w:hAnsi="Arial;Helvetica;sans-serif"/>
          <w:b w:val="false"/>
          <w:i w:val="false"/>
          <w:caps w:val="false"/>
          <w:smallCaps w:val="false"/>
          <w:color w:val="000000"/>
          <w:spacing w:val="0"/>
          <w:sz w:val="18"/>
          <w:lang w:val="nl-NL"/>
        </w:rPr>
        <w:t> </w:t>
      </w:r>
      <w:r>
        <w:rPr>
          <w:rFonts w:ascii="Arial;sans-serif" w:hAnsi="Arial;sans-serif"/>
          <w:b w:val="false"/>
          <w:i/>
          <w:caps w:val="false"/>
          <w:smallCaps w:val="false"/>
          <w:color w:val="000000"/>
          <w:spacing w:val="0"/>
          <w:sz w:val="20"/>
          <w:lang w:val="vi-VN"/>
        </w:rPr>
        <w:t>năm </w:t>
      </w:r>
      <w:r>
        <w:rPr>
          <w:rFonts w:ascii="Arial;sans-serif" w:hAnsi="Arial;sans-serif"/>
          <w:b w:val="false"/>
          <w:i/>
          <w:caps w:val="false"/>
          <w:smallCaps w:val="false"/>
          <w:color w:val="000000"/>
          <w:spacing w:val="0"/>
          <w:sz w:val="20"/>
          <w:lang w:val="en-GB"/>
        </w:rPr>
        <w:t>2026</w:t>
      </w:r>
      <w:r>
        <w:rPr>
          <w:rFonts w:ascii="Arial;Helvetica;sans-serif" w:hAnsi="Arial;Helvetica;sans-serif"/>
          <w:b w:val="false"/>
          <w:i w:val="false"/>
          <w:caps w:val="false"/>
          <w:smallCaps w:val="false"/>
          <w:color w:val="000000"/>
          <w:spacing w:val="0"/>
          <w:sz w:val="18"/>
          <w:lang w:val="nl-NL"/>
        </w:rPr>
        <w:t> </w:t>
      </w:r>
      <w:r>
        <w:rPr>
          <w:rFonts w:ascii="Arial;sans-serif" w:hAnsi="Arial;sans-serif"/>
          <w:b w:val="false"/>
          <w:i/>
          <w:caps w:val="false"/>
          <w:smallCaps w:val="false"/>
          <w:color w:val="000000"/>
          <w:spacing w:val="0"/>
          <w:sz w:val="20"/>
          <w:lang w:val="vi-VN"/>
        </w:rPr>
        <w:t>của Bộ trưởng Bộ Tài chính)</w:t>
      </w:r>
    </w:p>
    <w:p>
      <w:pPr>
        <w:pStyle w:val="BodyText"/>
        <w:widowControl/>
        <w:pBdr/>
        <w:bidi w:val="0"/>
        <w:spacing w:lineRule="atLeast" w:line="225" w:before="120" w:after="120"/>
        <w:ind w:hanging="0" w:start="0" w:end="0"/>
        <w:jc w:val="center"/>
        <w:rPr>
          <w:rFonts w:ascii="Arial;sans-serif" w:hAnsi="Arial;sans-serif"/>
          <w:b/>
          <w:i w:val="false"/>
          <w:caps w:val="false"/>
          <w:smallCaps w:val="false"/>
          <w:color w:val="000000"/>
          <w:spacing w:val="0"/>
          <w:sz w:val="20"/>
          <w:lang w:val="vi-VN"/>
        </w:rPr>
      </w:pPr>
      <w:r>
        <w:rPr>
          <w:rFonts w:ascii="Arial;sans-serif" w:hAnsi="Arial;sans-serif"/>
          <w:b/>
          <w:i w:val="false"/>
          <w:caps w:val="false"/>
          <w:smallCaps w:val="false"/>
          <w:color w:val="000000"/>
          <w:spacing w:val="0"/>
          <w:sz w:val="20"/>
          <w:lang w:val="vi-VN"/>
        </w:rPr>
        <w:t>CÔNG BỐ THÔNG TIN VỀ CHÀO BÁN TRÁI PHIẾU RIÊNG LẺ TẠI THỊ TRƯỜNG TRONG NƯỚC/CHÀO BÁN TRÁI PHIẾU RA THỊ TRƯỜNG QUỐC TẾ</w:t>
      </w:r>
    </w:p>
    <w:p>
      <w:pPr>
        <w:pStyle w:val="BodyText"/>
        <w:widowControl/>
        <w:pBdr/>
        <w:bidi w:val="0"/>
        <w:spacing w:lineRule="atLeast" w:line="225" w:before="120" w:after="120"/>
        <w:ind w:hanging="0" w:start="0" w:end="0"/>
        <w:jc w:val="end"/>
        <w:rPr>
          <w:rFonts w:ascii="Arial;sans-serif" w:hAnsi="Arial;sans-serif"/>
          <w:caps w:val="false"/>
          <w:smallCaps w:val="false"/>
          <w:color w:val="000000"/>
          <w:spacing w:val="0"/>
          <w:sz w:val="20"/>
          <w:lang w:val="nl-NL"/>
        </w:rPr>
      </w:pPr>
      <w:r>
        <w:rPr>
          <w:rFonts w:ascii="Arial;sans-serif" w:hAnsi="Arial;sans-serif"/>
          <w:caps w:val="false"/>
          <w:smallCaps w:val="false"/>
          <w:color w:val="000000"/>
          <w:spacing w:val="0"/>
          <w:sz w:val="20"/>
          <w:lang w:val="nl-NL"/>
        </w:rPr>
        <w:t>…</w:t>
      </w:r>
      <w:r>
        <w:rPr>
          <w:rFonts w:ascii="Arial;sans-serif" w:hAnsi="Arial;sans-serif"/>
          <w:b w:val="false"/>
          <w:i/>
          <w:caps w:val="false"/>
          <w:smallCaps w:val="false"/>
          <w:color w:val="000000"/>
          <w:spacing w:val="0"/>
          <w:sz w:val="20"/>
          <w:lang w:val="vi-VN"/>
        </w:rPr>
        <w:t>, ngày … tháng … năm …</w:t>
      </w:r>
    </w:p>
    <w:p>
      <w:pPr>
        <w:pStyle w:val="BodyText"/>
        <w:widowControl/>
        <w:pBdr/>
        <w:bidi w:val="0"/>
        <w:spacing w:lineRule="atLeast" w:line="225" w:before="120" w:after="120"/>
        <w:ind w:hanging="0" w:start="0" w:end="0"/>
        <w:jc w:val="center"/>
        <w:rPr>
          <w:rFonts w:ascii="Arial;sans-serif" w:hAnsi="Arial;sans-serif"/>
          <w:b/>
          <w:i w:val="false"/>
          <w:caps w:val="false"/>
          <w:smallCaps w:val="false"/>
          <w:color w:val="000000"/>
          <w:spacing w:val="0"/>
          <w:sz w:val="20"/>
          <w:lang w:val="vi-VN"/>
        </w:rPr>
      </w:pPr>
      <w:r>
        <w:rPr>
          <w:rFonts w:ascii="Arial;sans-serif" w:hAnsi="Arial;sans-serif"/>
          <w:b/>
          <w:i w:val="false"/>
          <w:caps w:val="false"/>
          <w:smallCaps w:val="false"/>
          <w:color w:val="000000"/>
          <w:spacing w:val="0"/>
          <w:sz w:val="20"/>
          <w:lang w:val="vi-VN"/>
        </w:rPr>
        <w:t>DOANH NGHIỆP: ………..</w:t>
      </w:r>
    </w:p>
    <w:p>
      <w:pPr>
        <w:pStyle w:val="BodyText"/>
        <w:widowControl/>
        <w:pBdr/>
        <w:bidi w:val="0"/>
        <w:spacing w:lineRule="atLeast" w:line="225" w:before="120" w:after="120"/>
        <w:ind w:hanging="0" w:start="0" w:end="0"/>
        <w:jc w:val="center"/>
        <w:rPr>
          <w:rFonts w:ascii="Arial;sans-serif" w:hAnsi="Arial;sans-serif"/>
          <w:b/>
          <w:i w:val="false"/>
          <w:caps w:val="false"/>
          <w:smallCaps w:val="false"/>
          <w:color w:val="000000"/>
          <w:spacing w:val="0"/>
          <w:sz w:val="20"/>
          <w:lang w:val="vi-VN"/>
        </w:rPr>
      </w:pPr>
      <w:r>
        <w:rPr>
          <w:rFonts w:ascii="Arial;sans-serif" w:hAnsi="Arial;sans-serif"/>
          <w:b/>
          <w:i w:val="false"/>
          <w:caps w:val="false"/>
          <w:smallCaps w:val="false"/>
          <w:color w:val="000000"/>
          <w:spacing w:val="0"/>
          <w:sz w:val="20"/>
          <w:lang w:val="vi-VN"/>
        </w:rPr>
        <w:t>Phần 1</w:t>
      </w:r>
    </w:p>
    <w:p>
      <w:pPr>
        <w:pStyle w:val="BodyText"/>
        <w:widowControl/>
        <w:pBdr/>
        <w:bidi w:val="0"/>
        <w:spacing w:lineRule="atLeast" w:line="225" w:before="120" w:after="120"/>
        <w:ind w:hanging="0" w:start="0" w:end="0"/>
        <w:jc w:val="center"/>
        <w:rPr>
          <w:rFonts w:ascii="Arial;sans-serif" w:hAnsi="Arial;sans-serif"/>
          <w:b/>
          <w:i w:val="false"/>
          <w:caps w:val="false"/>
          <w:smallCaps w:val="false"/>
          <w:color w:val="000000"/>
          <w:spacing w:val="0"/>
          <w:sz w:val="20"/>
          <w:lang w:val="vi-VN"/>
        </w:rPr>
      </w:pPr>
      <w:r>
        <w:rPr>
          <w:rFonts w:ascii="Arial;sans-serif" w:hAnsi="Arial;sans-serif"/>
          <w:b/>
          <w:i w:val="false"/>
          <w:caps w:val="false"/>
          <w:smallCaps w:val="false"/>
          <w:color w:val="000000"/>
          <w:spacing w:val="0"/>
          <w:sz w:val="20"/>
          <w:lang w:val="vi-VN"/>
        </w:rPr>
        <w:t>TÓM TẮT THÔNG TIN VỀ ĐỢT CHÀO BÁN TRÁI PHIẾU</w:t>
      </w:r>
    </w:p>
    <w:p>
      <w:pPr>
        <w:pStyle w:val="BodyText"/>
        <w:widowControl/>
        <w:pBdr/>
        <w:bidi w:val="0"/>
        <w:spacing w:lineRule="atLeast" w:line="225" w:before="120" w:after="120"/>
        <w:ind w:hanging="0" w:start="0" w:end="0"/>
        <w:jc w:val="start"/>
        <w:rPr>
          <w:rFonts w:ascii="Arial;sans-serif" w:hAnsi="Arial;sans-serif"/>
          <w:b/>
          <w:i w:val="false"/>
          <w:caps w:val="false"/>
          <w:smallCaps w:val="false"/>
          <w:color w:val="000000"/>
          <w:spacing w:val="0"/>
          <w:sz w:val="20"/>
          <w:lang w:val="en-GB"/>
        </w:rPr>
      </w:pPr>
      <w:r>
        <w:rPr>
          <w:rFonts w:ascii="Arial;sans-serif" w:hAnsi="Arial;sans-serif"/>
          <w:b/>
          <w:i w:val="false"/>
          <w:caps w:val="false"/>
          <w:smallCaps w:val="false"/>
          <w:color w:val="000000"/>
          <w:spacing w:val="0"/>
          <w:sz w:val="20"/>
          <w:lang w:val="en-GB"/>
        </w:rPr>
        <w:t>I. Thông tin về doanh nghiệp</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1. Tên doanh nghiệp:</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2. Giấy chứng nhận đăng ký doanh nghiệp (hoặc Giấy phép có giá trị tương đương) số … do Sở Tài chính tỉnh/đơn vị cấp lần đầu ngày … cấp thay đổi lần thứ … ngày …       </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3. Địa chỉ trụ sở chính, số điện thoại, địa chỉ thư điện tử:</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4. Loại hình doanh nghiệp:</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5. Lĩnh vực hoạt động kinh doanh chính:</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6. Tổ chức phát hành thuộc ngành nghề kinh doanh có điều kiện mà pháp luật chuyên ngành quy định phải có chấp thuận của cơ quan quản lý Nhà nước có thẩm quyền về việc phát hành: … (Có/Không)</w:t>
      </w:r>
    </w:p>
    <w:p>
      <w:pPr>
        <w:pStyle w:val="BodyText"/>
        <w:widowControl/>
        <w:pBdr/>
        <w:bidi w:val="0"/>
        <w:spacing w:lineRule="atLeast" w:line="225" w:before="120" w:after="120"/>
        <w:ind w:hanging="0" w:start="0" w:end="0"/>
        <w:jc w:val="start"/>
        <w:rPr>
          <w:rFonts w:ascii="Arial;sans-serif" w:hAnsi="Arial;sans-serif"/>
          <w:b/>
          <w:i w:val="false"/>
          <w:caps w:val="false"/>
          <w:smallCaps w:val="false"/>
          <w:color w:val="000000"/>
          <w:spacing w:val="0"/>
          <w:sz w:val="20"/>
          <w:lang w:val="en-GB"/>
        </w:rPr>
      </w:pPr>
      <w:r>
        <w:rPr>
          <w:rFonts w:ascii="Arial;sans-serif" w:hAnsi="Arial;sans-serif"/>
          <w:b/>
          <w:i w:val="false"/>
          <w:caps w:val="false"/>
          <w:smallCaps w:val="false"/>
          <w:color w:val="000000"/>
          <w:spacing w:val="0"/>
          <w:sz w:val="20"/>
          <w:lang w:val="en-GB"/>
        </w:rPr>
        <w:t>II. Thông tin về đợt chào bán</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1. Mã trái phiếu (</w:t>
      </w:r>
      <w:r>
        <w:rPr>
          <w:rFonts w:ascii="Arial;sans-serif" w:hAnsi="Arial;sans-serif"/>
          <w:b w:val="false"/>
          <w:i/>
          <w:caps w:val="false"/>
          <w:smallCaps w:val="false"/>
          <w:color w:val="000000"/>
          <w:spacing w:val="0"/>
          <w:sz w:val="20"/>
          <w:lang w:val="en-GB"/>
        </w:rPr>
        <w:t>nguyên tắc đánh mã trái phiếu thực hiện theo hướng dẫn của Tổng công ty Lưu ký và Bù trừ chứng khoán Việt Nam đối với trái phiếu chào bán tại thị trường trong nước</w:t>
      </w:r>
      <w:r>
        <w:rPr>
          <w:rFonts w:ascii="Arial;sans-serif" w:hAnsi="Arial;sans-serif"/>
          <w:b w:val="false"/>
          <w:i w:val="false"/>
          <w:caps w:val="false"/>
          <w:smallCaps w:val="false"/>
          <w:color w:val="000000"/>
          <w:spacing w:val="0"/>
          <w:sz w:val="20"/>
          <w:lang w:val="en-GB"/>
        </w:rPr>
        <w:t>):</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2. Thị trường phát hành (</w:t>
      </w:r>
      <w:r>
        <w:rPr>
          <w:rFonts w:ascii="Arial;sans-serif" w:hAnsi="Arial;sans-serif"/>
          <w:b w:val="false"/>
          <w:i/>
          <w:caps w:val="false"/>
          <w:smallCaps w:val="false"/>
          <w:color w:val="000000"/>
          <w:spacing w:val="0"/>
          <w:sz w:val="20"/>
          <w:lang w:val="en-GB"/>
        </w:rPr>
        <w:t>đối với chào bán trái phiếu ra thị trường quốc tế</w:t>
      </w:r>
      <w:r>
        <w:rPr>
          <w:rFonts w:ascii="Arial;sans-serif" w:hAnsi="Arial;sans-serif"/>
          <w:b w:val="false"/>
          <w:i w:val="false"/>
          <w:caps w:val="false"/>
          <w:smallCaps w:val="false"/>
          <w:color w:val="000000"/>
          <w:spacing w:val="0"/>
          <w:sz w:val="20"/>
          <w:lang w:val="en-GB"/>
        </w:rPr>
        <w:t>):</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3. Tổng số lượng trái phiếu phát hành (trái phiếu):</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4. Tổng giá trị phát hành (theo mệnh giá): số lượng trái phiếu phát hành x mệnh giá:</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5. Kết quả xếp hạng tín nhiệm trong trường hợp bắt buộc phải xếp hạng tín nhiệm theo quy định của pháp luật; hoặc kết quả xếp hạng tín nhiệm (nếu có) trong trường hợp không bắt buộc phải xếp hạng tín nhiệm.</w:t>
      </w:r>
    </w:p>
    <w:tbl>
      <w:tblPr>
        <w:tblW w:w="5000" w:type="pct"/>
        <w:jc w:val="start"/>
        <w:tblInd w:w="0" w:type="dxa"/>
        <w:tblLayout w:type="fixed"/>
        <w:tblCellMar>
          <w:top w:w="0" w:type="dxa"/>
          <w:start w:w="0" w:type="dxa"/>
          <w:bottom w:w="0" w:type="dxa"/>
          <w:end w:w="0" w:type="dxa"/>
        </w:tblCellMar>
      </w:tblPr>
      <w:tblGrid>
        <w:gridCol w:w="9638"/>
      </w:tblGrid>
      <w:tr>
        <w:trPr/>
        <w:tc>
          <w:tcPr>
            <w:tcW w:w="9638" w:type="dxa"/>
            <w:tcBorders/>
          </w:tcPr>
          <w:p>
            <w:pPr>
              <w:pStyle w:val="TableContents"/>
              <w:widowControl/>
              <w:pBdr/>
              <w:bidi w:val="0"/>
              <w:spacing w:lineRule="atLeast" w:line="225" w:before="120" w:after="120"/>
              <w:ind w:hanging="0" w:start="0" w:end="0"/>
              <w:jc w:val="center"/>
              <w:rPr>
                <w:rFonts w:ascii="Arial;sans-serif" w:hAnsi="Arial;sans-serif"/>
                <w:color w:val="000000"/>
                <w:sz w:val="20"/>
                <w:lang w:val="nl-NL"/>
              </w:rPr>
            </w:pPr>
            <w:r>
              <w:rPr>
                <w:rFonts w:ascii="Arial;sans-serif" w:hAnsi="Arial;sans-serif"/>
                <w:color w:val="000000"/>
                <w:sz w:val="20"/>
                <w:lang w:val="nl-NL"/>
              </w:rPr>
              <w:t xml:space="preserve">□ </w:t>
            </w:r>
            <w:r>
              <w:rPr>
                <w:rFonts w:ascii="Arial;sans-serif" w:hAnsi="Arial;sans-serif"/>
                <w:color w:val="000000"/>
                <w:sz w:val="20"/>
                <w:lang w:val="en-GB"/>
              </w:rPr>
              <w:t>Có xếp hạng tín nhiệm thuộc trường hợp bắt buộc phải xếp hạng tín nhiệm</w:t>
            </w:r>
          </w:p>
        </w:tc>
      </w:tr>
      <w:tr>
        <w:trPr/>
        <w:tc>
          <w:tcPr>
            <w:tcW w:w="9638" w:type="dxa"/>
            <w:tcBorders/>
          </w:tcPr>
          <w:p>
            <w:pPr>
              <w:pStyle w:val="TableContents"/>
              <w:widowControl/>
              <w:pBdr/>
              <w:bidi w:val="0"/>
              <w:spacing w:lineRule="atLeast" w:line="225" w:before="120" w:after="120"/>
              <w:ind w:hanging="0" w:start="0" w:end="0"/>
              <w:jc w:val="center"/>
              <w:rPr>
                <w:rFonts w:ascii="Arial;sans-serif" w:hAnsi="Arial;sans-serif"/>
                <w:color w:val="000000"/>
                <w:sz w:val="20"/>
                <w:lang w:val="nl-NL"/>
              </w:rPr>
            </w:pPr>
            <w:r>
              <w:rPr>
                <w:rFonts w:ascii="Arial;sans-serif" w:hAnsi="Arial;sans-serif"/>
                <w:color w:val="000000"/>
                <w:sz w:val="20"/>
                <w:lang w:val="nl-NL"/>
              </w:rPr>
              <w:t xml:space="preserve">□ </w:t>
            </w:r>
            <w:r>
              <w:rPr>
                <w:rFonts w:ascii="Arial;sans-serif" w:hAnsi="Arial;sans-serif"/>
                <w:color w:val="000000"/>
                <w:sz w:val="20"/>
                <w:lang w:val="en-GB"/>
              </w:rPr>
              <w:t>Có xếp hạng tín nhiệm thuộc trường hợp không bắt buộc phải xếp hạng tín nhiệm</w:t>
            </w:r>
          </w:p>
        </w:tc>
      </w:tr>
      <w:tr>
        <w:trPr/>
        <w:tc>
          <w:tcPr>
            <w:tcW w:w="9638" w:type="dxa"/>
            <w:tcBorders/>
          </w:tcPr>
          <w:p>
            <w:pPr>
              <w:pStyle w:val="TableContents"/>
              <w:widowControl/>
              <w:pBdr/>
              <w:bidi w:val="0"/>
              <w:spacing w:lineRule="atLeast" w:line="225" w:before="120" w:after="120"/>
              <w:ind w:hanging="0" w:start="0" w:end="0"/>
              <w:jc w:val="center"/>
              <w:rPr>
                <w:rFonts w:ascii="Arial;sans-serif" w:hAnsi="Arial;sans-serif"/>
                <w:color w:val="000000"/>
                <w:sz w:val="20"/>
                <w:lang w:val="nl-NL"/>
              </w:rPr>
            </w:pPr>
            <w:r>
              <w:rPr>
                <w:rFonts w:ascii="Arial;sans-serif" w:hAnsi="Arial;sans-serif"/>
                <w:color w:val="000000"/>
                <w:sz w:val="20"/>
                <w:lang w:val="nl-NL"/>
              </w:rPr>
              <w:t xml:space="preserve">□ </w:t>
            </w:r>
            <w:r>
              <w:rPr>
                <w:rFonts w:ascii="Arial;sans-serif" w:hAnsi="Arial;sans-serif"/>
                <w:color w:val="000000"/>
                <w:sz w:val="20"/>
                <w:lang w:val="en-GB"/>
              </w:rPr>
              <w:t>Không có xếp hạng tín nhiệm</w:t>
            </w:r>
          </w:p>
          <w:p>
            <w:pPr>
              <w:pStyle w:val="TableContents"/>
              <w:widowControl/>
              <w:pBdr/>
              <w:bidi w:val="0"/>
              <w:spacing w:lineRule="atLeast" w:line="225" w:before="120" w:after="120"/>
              <w:ind w:hanging="0" w:start="0" w:end="0"/>
              <w:jc w:val="center"/>
              <w:rPr>
                <w:rFonts w:ascii="Arial;sans-serif" w:hAnsi="Arial;sans-serif"/>
                <w:i/>
                <w:color w:val="000000"/>
                <w:sz w:val="20"/>
                <w:lang w:val="en-GB"/>
              </w:rPr>
            </w:pPr>
            <w:r>
              <w:rPr>
                <w:rFonts w:ascii="Arial;sans-serif" w:hAnsi="Arial;sans-serif"/>
                <w:i/>
                <w:color w:val="000000"/>
                <w:sz w:val="20"/>
                <w:lang w:val="en-GB"/>
              </w:rPr>
              <w:t>(Nếu có xếp hạng tín nhiệm thì nêu cụ thể kết quả xếp hạng tín nhiệm đối với doanh nghiệp phát hành hoặc trái phiếu phát hành tại thời điểm công bố thông tin, ngày công bố kết quả xếp hạng tín nhiệm và tên doanh nghiệp cung cấp dịch vụ xếp hạng tín nhiệm)</w:t>
            </w:r>
          </w:p>
        </w:tc>
      </w:tr>
    </w:tbl>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6. Loại hình trái phiếu (</w:t>
      </w:r>
      <w:r>
        <w:rPr>
          <w:rFonts w:ascii="Arial;sans-serif" w:hAnsi="Arial;sans-serif"/>
          <w:b w:val="false"/>
          <w:i/>
          <w:caps w:val="false"/>
          <w:smallCaps w:val="false"/>
          <w:color w:val="000000"/>
          <w:spacing w:val="0"/>
          <w:sz w:val="20"/>
          <w:lang w:val="en-GB"/>
        </w:rPr>
        <w:t>trái phiếu chuyển đổi, trái phiếu có bảo đảm, trái phiếu kèm chứng quyền, trái phiếu không chuyển đổi và không kèm chứng quyền, trái phiếu không có bảo đảm</w:t>
      </w:r>
      <w:r>
        <w:rPr>
          <w:rFonts w:ascii="Arial;sans-serif" w:hAnsi="Arial;sans-serif"/>
          <w:b w:val="false"/>
          <w:i w:val="false"/>
          <w:caps w:val="false"/>
          <w:smallCaps w:val="false"/>
          <w:color w:val="000000"/>
          <w:spacing w:val="0"/>
          <w:sz w:val="20"/>
          <w:lang w:val="en-GB"/>
        </w:rPr>
        <w:t>):</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7. Thời gian dự kiến tổ chức đợt chào bán (thời gian thu tiền mua trái phiếu từ các nhà đầu tư): từ ngày … đến ngày …</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8. Số tài khoản/tài khoản phong tỏa nhận tiền mua trái phiếu của đợt chào bán</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 Tên tài khoản của doanh nghiệp phát hành:</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 Số tài khoản của doanh nghiệp phát hành:</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 Mở tại ngân hàng thương mại, chi nhánh ngân hàng nước ngoài:</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9. Các tổ chức liên quan đến đợt chào bán:</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a) Tổ chức tư vấn hồ sơ chào bán:</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 Công ty: ……. (ghi rõ tên, địa chỉ trụ sở chính, số điện thoại, địa chỉ thư điện tử).</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b) Tổ chức bảo lãnh phát hành chính (nếu có):</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 Công ty: ……. (ghi rõ tên, địa chỉ trụ sở chính, số điện thoại, địa chỉ thư điện tử).</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c) Tổ chức đồng bảo lãnh phát hành (nếu có):</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 Công ty: ……. (ghi rõ tên, địa chỉ trụ sở chính, số điện thoại, địa chỉ thư điện tử).</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 Công ty: ......... (ghi rõ tên, địa chỉ trụ sở chính, số điện thoại, địa chỉ thư điện tử).</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d) Tổ chức đại lý phát hành (nếu có):</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 Công ty: ……. (ghi rõ tên, địa chỉ trụ sở chính, số điện thoại, địa chỉ thư điện tử).</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đ) Tổ chức đại diện người sở hữu trái phiếu (nếu có):</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 Công ty: ......... (ghi rõ tên, địa chỉ trụ sở chính, số điện thoại, địa chỉ thư điện tử).</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e) Ngân hàng thương mại, chi nhánh ngân hàng nước ngoài nơi doanh nghiệp mở tài khoản để nhận tiền mua trái phiếu của nhà đầu tư:</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 Ngân hàng thương mại, chi nhánh ngân hàng nước ngoài: ......... (ghi rõ tên, địa chỉ trụ sở chính, số điện thoại, địa chỉ thư điện tử)</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g) Tổ chức đại lý quản lý tài sản bảo đảm đối với trái phiếu có bảo đảm </w:t>
      </w:r>
      <w:r>
        <w:rPr>
          <w:rFonts w:ascii="Arial;sans-serif" w:hAnsi="Arial;sans-serif"/>
          <w:b w:val="false"/>
          <w:i/>
          <w:caps w:val="false"/>
          <w:smallCaps w:val="false"/>
          <w:color w:val="000000"/>
          <w:spacing w:val="0"/>
          <w:sz w:val="20"/>
          <w:lang w:val="en-GB"/>
        </w:rPr>
        <w:t>(nếu có)</w:t>
      </w:r>
      <w:r>
        <w:rPr>
          <w:rFonts w:ascii="Arial;sans-serif" w:hAnsi="Arial;sans-serif"/>
          <w:b w:val="false"/>
          <w:i w:val="false"/>
          <w:caps w:val="false"/>
          <w:smallCaps w:val="false"/>
          <w:color w:val="000000"/>
          <w:spacing w:val="0"/>
          <w:sz w:val="20"/>
          <w:lang w:val="en-GB"/>
        </w:rPr>
        <w:t>:</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 Công ty: ......... (ghi rõ tên, địa chỉ trụ sở chính, số điện thoại, địa chỉ thư điện tử).</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h) Tổ chức xếp hạng tín nhiệm </w:t>
      </w:r>
      <w:r>
        <w:rPr>
          <w:rFonts w:ascii="Arial;sans-serif" w:hAnsi="Arial;sans-serif"/>
          <w:b w:val="false"/>
          <w:i/>
          <w:caps w:val="false"/>
          <w:smallCaps w:val="false"/>
          <w:color w:val="000000"/>
          <w:spacing w:val="0"/>
          <w:sz w:val="20"/>
          <w:lang w:val="en-GB"/>
        </w:rPr>
        <w:t>(nếu có)</w:t>
      </w:r>
      <w:r>
        <w:rPr>
          <w:rFonts w:ascii="Arial;sans-serif" w:hAnsi="Arial;sans-serif"/>
          <w:b w:val="false"/>
          <w:i w:val="false"/>
          <w:caps w:val="false"/>
          <w:smallCaps w:val="false"/>
          <w:color w:val="000000"/>
          <w:spacing w:val="0"/>
          <w:sz w:val="20"/>
          <w:lang w:val="en-GB"/>
        </w:rPr>
        <w:t>:</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 Công ty: ……. (ghi rõ tên, địa chỉ trụ sở chính, số điện thoại, địa chỉ thư điện tử).</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i) Tổ chức tư vấn, chứng nhận tiêu chuẩn phát hành trái phiếu xanh (đối với phát hành trái phiếu xanh):</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 Công ty: ……. (ghi rõ tên, địa chỉ trụ sở chính, số điện thoại, địa chỉ thư điện tử).</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k) Các tổ chức khác liên quan đến đợt chào bán trái phiếu </w:t>
      </w:r>
      <w:r>
        <w:rPr>
          <w:rFonts w:ascii="Arial;sans-serif" w:hAnsi="Arial;sans-serif"/>
          <w:b w:val="false"/>
          <w:i/>
          <w:caps w:val="false"/>
          <w:smallCaps w:val="false"/>
          <w:color w:val="000000"/>
          <w:spacing w:val="0"/>
          <w:sz w:val="20"/>
          <w:lang w:val="en-GB"/>
        </w:rPr>
        <w:t>(nếu có)</w:t>
      </w:r>
      <w:r>
        <w:rPr>
          <w:rFonts w:ascii="Arial;sans-serif" w:hAnsi="Arial;sans-serif"/>
          <w:b w:val="false"/>
          <w:i w:val="false"/>
          <w:caps w:val="false"/>
          <w:smallCaps w:val="false"/>
          <w:color w:val="000000"/>
          <w:spacing w:val="0"/>
          <w:sz w:val="20"/>
          <w:lang w:val="en-GB"/>
        </w:rPr>
        <w:t>:</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 Công ty: ……. (ghi rõ tên, địa chỉ trụ sở chính, số điện thoại, địa chỉ thư điện tử).</w:t>
      </w:r>
    </w:p>
    <w:p>
      <w:pPr>
        <w:pStyle w:val="BodyText"/>
        <w:widowControl/>
        <w:pBdr/>
        <w:bidi w:val="0"/>
        <w:spacing w:lineRule="atLeast" w:line="225" w:before="120" w:after="120"/>
        <w:ind w:hanging="0" w:start="0" w:end="0"/>
        <w:jc w:val="center"/>
        <w:rPr>
          <w:rFonts w:ascii="Arial;sans-serif" w:hAnsi="Arial;sans-serif"/>
          <w:b/>
          <w:i w:val="false"/>
          <w:caps w:val="false"/>
          <w:smallCaps w:val="false"/>
          <w:color w:val="000000"/>
          <w:spacing w:val="0"/>
          <w:sz w:val="20"/>
          <w:lang w:val="en-GB"/>
        </w:rPr>
      </w:pPr>
      <w:r>
        <w:rPr>
          <w:rFonts w:ascii="Arial;sans-serif" w:hAnsi="Arial;sans-serif"/>
          <w:b/>
          <w:i w:val="false"/>
          <w:caps w:val="false"/>
          <w:smallCaps w:val="false"/>
          <w:color w:val="000000"/>
          <w:spacing w:val="0"/>
          <w:sz w:val="20"/>
          <w:lang w:val="en-GB"/>
        </w:rPr>
        <w:t>Phần 2</w:t>
      </w:r>
    </w:p>
    <w:p>
      <w:pPr>
        <w:pStyle w:val="BodyText"/>
        <w:widowControl/>
        <w:pBdr/>
        <w:bidi w:val="0"/>
        <w:spacing w:lineRule="atLeast" w:line="225" w:before="120" w:after="120"/>
        <w:ind w:hanging="0" w:start="0" w:end="0"/>
        <w:jc w:val="center"/>
        <w:rPr>
          <w:rFonts w:ascii="Arial;sans-serif" w:hAnsi="Arial;sans-serif"/>
          <w:b/>
          <w:i w:val="false"/>
          <w:caps w:val="false"/>
          <w:smallCaps w:val="false"/>
          <w:color w:val="000000"/>
          <w:spacing w:val="0"/>
          <w:sz w:val="20"/>
          <w:lang w:val="en-GB"/>
        </w:rPr>
      </w:pPr>
      <w:r>
        <w:rPr>
          <w:rFonts w:ascii="Arial;sans-serif" w:hAnsi="Arial;sans-serif"/>
          <w:b/>
          <w:i w:val="false"/>
          <w:caps w:val="false"/>
          <w:smallCaps w:val="false"/>
          <w:color w:val="000000"/>
          <w:spacing w:val="0"/>
          <w:sz w:val="20"/>
          <w:lang w:val="en-GB"/>
        </w:rPr>
        <w:t>NHỮNG NGƯỜI CHỊU TRÁCH NHIỆM CHÍNH CÔNG BỐ THÔNG TIN VỀ ĐỢT CHÀO BÁN TRÁI PHIẾU</w:t>
      </w:r>
    </w:p>
    <w:p>
      <w:pPr>
        <w:pStyle w:val="BodyText"/>
        <w:widowControl/>
        <w:pBdr/>
        <w:bidi w:val="0"/>
        <w:spacing w:lineRule="atLeast" w:line="225" w:before="120" w:after="120"/>
        <w:ind w:hanging="0" w:start="0" w:end="0"/>
        <w:jc w:val="start"/>
        <w:rPr>
          <w:rFonts w:ascii="Arial;sans-serif" w:hAnsi="Arial;sans-serif"/>
          <w:b/>
          <w:i w:val="false"/>
          <w:caps w:val="false"/>
          <w:smallCaps w:val="false"/>
          <w:color w:val="000000"/>
          <w:spacing w:val="0"/>
          <w:sz w:val="20"/>
          <w:lang w:val="en-GB"/>
        </w:rPr>
      </w:pPr>
      <w:r>
        <w:rPr>
          <w:rFonts w:ascii="Arial;sans-serif" w:hAnsi="Arial;sans-serif"/>
          <w:b/>
          <w:i w:val="false"/>
          <w:caps w:val="false"/>
          <w:smallCaps w:val="false"/>
          <w:color w:val="000000"/>
          <w:spacing w:val="0"/>
          <w:sz w:val="20"/>
          <w:lang w:val="en-GB"/>
        </w:rPr>
        <w:t>1. Doanh nghiệp phát hành:</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 Ông/Bà: ……………… Chức vụ: Chủ tịch Hội đồng quản trị/Chủ tịch Hội đồng thành viên/Chủ tịch công ty</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 Ông/Bà: ……………… Chức vụ: Giám đốc (Tổng giám đốc)</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 Ông/Bà: ……………… Chức vụ: Kế toán trưởng (Giám đốc Tài chính)</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 Ông/Bà: ……………… Chức vụ: Trưởng ban kiểm soát (nếu có)</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 Ông/Bà: ……………… Chức vụ: Chủ tịch Ủy ban kiểm toán (nếu có)</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 Đại diện theo pháp luật (hoặc đại diện được ủy quyền): Ông/Bà: ….……… Chức vụ: ...</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Theo Giấy ủy quyền số … ngày … tháng … năm … của Người đại diện theo pháp luật </w:t>
      </w:r>
      <w:r>
        <w:rPr>
          <w:rFonts w:ascii="Arial;sans-serif" w:hAnsi="Arial;sans-serif"/>
          <w:b w:val="false"/>
          <w:i/>
          <w:caps w:val="false"/>
          <w:smallCaps w:val="false"/>
          <w:color w:val="000000"/>
          <w:spacing w:val="0"/>
          <w:sz w:val="20"/>
          <w:lang w:val="en-GB"/>
        </w:rPr>
        <w:t>(trường hợp đại diện được ủy quyền).</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Chúng tôi cam kết rằng các thông tin và số liệu trong Bản công bố thông tin này là chính xác, trung thực và cam kết chịu trách nhiệm tập thể và cá nhân trước pháp luật về tính trung thực, chính xác và đầy đủ của những thông tin và số liệu này.</w:t>
      </w:r>
    </w:p>
    <w:p>
      <w:pPr>
        <w:pStyle w:val="BodyText"/>
        <w:widowControl/>
        <w:pBdr/>
        <w:bidi w:val="0"/>
        <w:spacing w:lineRule="atLeast" w:line="225" w:before="120" w:after="120"/>
        <w:ind w:hanging="0" w:start="0" w:end="0"/>
        <w:jc w:val="start"/>
        <w:rPr>
          <w:rFonts w:ascii="Arial;sans-serif" w:hAnsi="Arial;sans-serif"/>
          <w:b/>
          <w:i w:val="false"/>
          <w:caps w:val="false"/>
          <w:smallCaps w:val="false"/>
          <w:color w:val="000000"/>
          <w:spacing w:val="0"/>
          <w:sz w:val="20"/>
          <w:lang w:val="en-GB"/>
        </w:rPr>
      </w:pPr>
      <w:r>
        <w:rPr>
          <w:rFonts w:ascii="Arial;sans-serif" w:hAnsi="Arial;sans-serif"/>
          <w:b/>
          <w:i w:val="false"/>
          <w:caps w:val="false"/>
          <w:smallCaps w:val="false"/>
          <w:color w:val="000000"/>
          <w:spacing w:val="0"/>
          <w:sz w:val="20"/>
          <w:lang w:val="en-GB"/>
        </w:rPr>
        <w:t>2. Tổ chức tư vấn hồ sơ chào bán trái phiếu</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 Tên tổ chức tư vấn hồ sơ chào bán trái phiếu: ……….</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 Đại diện theo pháp luật (hoặc đại diện được ủy quyền): Ông/Bà: ………… Chức vụ: ...</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Theo Giấy ủy quyền số … ngày … tháng … năm … của Người đại diện theo pháp luật </w:t>
      </w:r>
      <w:r>
        <w:rPr>
          <w:rFonts w:ascii="Arial;sans-serif" w:hAnsi="Arial;sans-serif"/>
          <w:b w:val="false"/>
          <w:i/>
          <w:caps w:val="false"/>
          <w:smallCaps w:val="false"/>
          <w:color w:val="000000"/>
          <w:spacing w:val="0"/>
          <w:sz w:val="20"/>
          <w:lang w:val="en-GB"/>
        </w:rPr>
        <w:t>(trường hợp đại diện được ủy quyền)</w:t>
      </w:r>
      <w:r>
        <w:rPr>
          <w:rFonts w:ascii="Arial;sans-serif" w:hAnsi="Arial;sans-serif"/>
          <w:b w:val="false"/>
          <w:i w:val="false"/>
          <w:caps w:val="false"/>
          <w:smallCaps w:val="false"/>
          <w:color w:val="000000"/>
          <w:spacing w:val="0"/>
          <w:sz w:val="20"/>
          <w:lang w:val="en-GB"/>
        </w:rPr>
        <w:t>.</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Bản công bố thông tin này là một phần của hồ sơ chào bán trái phiếu riêng lẻ </w:t>
      </w:r>
      <w:r>
        <w:rPr>
          <w:rFonts w:ascii="Arial;sans-serif" w:hAnsi="Arial;sans-serif"/>
          <w:b w:val="false"/>
          <w:i/>
          <w:caps w:val="false"/>
          <w:smallCaps w:val="false"/>
          <w:color w:val="000000"/>
          <w:spacing w:val="0"/>
          <w:sz w:val="20"/>
          <w:lang w:val="en-GB"/>
        </w:rPr>
        <w:t>(tên Tổ chức tư vấn hồ sơ chào bán trái phiếu)</w:t>
      </w:r>
      <w:r>
        <w:rPr>
          <w:rFonts w:ascii="Arial;sans-serif" w:hAnsi="Arial;sans-serif"/>
          <w:b w:val="false"/>
          <w:i w:val="false"/>
          <w:caps w:val="false"/>
          <w:smallCaps w:val="false"/>
          <w:color w:val="000000"/>
          <w:spacing w:val="0"/>
          <w:sz w:val="20"/>
          <w:lang w:val="en-GB"/>
        </w:rPr>
        <w:t> tham gia lập trên cơ sở Hợp đồng tư vấn số … ngày … tháng … năm … với … </w:t>
      </w:r>
      <w:r>
        <w:rPr>
          <w:rFonts w:ascii="Arial;sans-serif" w:hAnsi="Arial;sans-serif"/>
          <w:b w:val="false"/>
          <w:i/>
          <w:caps w:val="false"/>
          <w:smallCaps w:val="false"/>
          <w:color w:val="000000"/>
          <w:spacing w:val="0"/>
          <w:sz w:val="20"/>
          <w:lang w:val="en-GB"/>
        </w:rPr>
        <w:t>(tên Tổ chức phát hành).</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Căn cứ quy định tại Nghị định số 200/2026/NĐ-CP ngày 05 tháng 6 năm 2026 của Chính phủ quy định về chào bán, giao dịch trái phiếu doanh nghiệp riêng lẻ tại thị trường trong nước và chào bán trái phiếu doanh nghiệp ra thị trường quốc tế và pháp luật chứng khoán, pháp luật doanh nghiệp, (tên Tổ chức tư vấn hồ sơ chào bán trái phiếu) đã rà soát, kiểm tra các thông tin trong hồ sơ chào bán trái phiếu của (tên Tổ chức phát hành) trên cơ sở các thông tin, số liệu, tài liệu do (tên Tổ chức phát hành) cung cấp, bảo đảm việc phân tích, đánh giá được thực hiện hợp lý và cẩn trọng. (Tên Tổ chức tư vấn hồ sơ chào bán trái phiếu) chịu trách nhiệm trước pháp luật trong phạm vi tư vấn liên quan đến hồ sơ, tài liệu báo cáo.</w:t>
      </w:r>
    </w:p>
    <w:p>
      <w:pPr>
        <w:pStyle w:val="BodyText"/>
        <w:widowControl/>
        <w:pBdr/>
        <w:bidi w:val="0"/>
        <w:spacing w:lineRule="atLeast" w:line="225" w:before="0" w:after="0"/>
        <w:ind w:hanging="0" w:start="0" w:end="0"/>
        <w:jc w:val="start"/>
        <w:rPr>
          <w:rFonts w:ascii="Arial;Helvetica;sans-serif" w:hAnsi="Arial;Helvetica;sans-serif"/>
          <w:b w:val="false"/>
          <w:i w:val="false"/>
          <w:caps w:val="false"/>
          <w:smallCaps w:val="false"/>
          <w:color w:val="000000"/>
          <w:spacing w:val="0"/>
          <w:sz w:val="18"/>
          <w:lang w:val="nl-NL"/>
        </w:rPr>
      </w:pPr>
      <w:r>
        <w:rPr>
          <w:rFonts w:ascii="Arial;sans-serif" w:hAnsi="Arial;sans-serif"/>
          <w:b/>
          <w:i w:val="false"/>
          <w:caps w:val="false"/>
          <w:smallCaps w:val="false"/>
          <w:color w:val="000000"/>
          <w:spacing w:val="0"/>
          <w:sz w:val="20"/>
          <w:lang w:val="en-GB"/>
        </w:rPr>
        <w:t>3. Địa chỉ liên hệ của doanh nghiệp phát hành để cung cấp các hồ sơ chào bán trái phiếu, trong đó bao gồm hợp đồng ký kết giữa doanh nghiệp phát hành và các tổ chức cung cấp dịch vụ liên quan đến đợt chào bán trái phiếu </w:t>
      </w:r>
      <w:r>
        <w:rPr>
          <w:rFonts w:ascii="Arial;sans-serif" w:hAnsi="Arial;sans-serif"/>
          <w:b w:val="false"/>
          <w:i w:val="false"/>
          <w:caps w:val="false"/>
          <w:smallCaps w:val="false"/>
          <w:color w:val="000000"/>
          <w:spacing w:val="0"/>
          <w:sz w:val="20"/>
          <w:lang w:val="en-GB"/>
        </w:rPr>
        <w:t>theo yêu cầu của nhà đầu tư quy định tại </w:t>
      </w:r>
      <w:bookmarkStart w:id="2" w:name="dc_62"/>
      <w:bookmarkEnd w:id="2"/>
      <w:r>
        <w:rPr>
          <w:rFonts w:ascii="Arial;sans-serif" w:hAnsi="Arial;sans-serif"/>
          <w:b w:val="false"/>
          <w:i w:val="false"/>
          <w:caps w:val="false"/>
          <w:smallCaps w:val="false"/>
          <w:strike w:val="false"/>
          <w:dstrike w:val="false"/>
          <w:color w:val="000000"/>
          <w:spacing w:val="0"/>
          <w:sz w:val="20"/>
          <w:u w:val="none"/>
          <w:effect w:val="none"/>
          <w:lang w:val="en-GB"/>
        </w:rPr>
        <w:t>khoản 5 Điều 9 Nghị định số 200/2026/NĐ-CP</w:t>
      </w:r>
      <w:r>
        <w:rPr>
          <w:rFonts w:ascii="Arial;sans-serif" w:hAnsi="Arial;sans-serif"/>
          <w:b w:val="false"/>
          <w:i w:val="false"/>
          <w:caps w:val="false"/>
          <w:smallCaps w:val="false"/>
          <w:color w:val="000000"/>
          <w:spacing w:val="0"/>
          <w:sz w:val="20"/>
          <w:lang w:val="en-GB"/>
        </w:rPr>
        <w:t>:</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 Họ và tên:</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 Chức vụ:</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 Số điện thoại:</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 Địa chỉ liên hệ:</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 Địa chỉ thư điện tử:</w:t>
      </w:r>
    </w:p>
    <w:p>
      <w:pPr>
        <w:pStyle w:val="BodyText"/>
        <w:widowControl/>
        <w:pBdr/>
        <w:bidi w:val="0"/>
        <w:spacing w:lineRule="atLeast" w:line="225" w:before="120" w:after="120"/>
        <w:ind w:hanging="0" w:start="0" w:end="0"/>
        <w:jc w:val="center"/>
        <w:rPr>
          <w:rFonts w:ascii="Arial;sans-serif" w:hAnsi="Arial;sans-serif"/>
          <w:b/>
          <w:i w:val="false"/>
          <w:caps w:val="false"/>
          <w:smallCaps w:val="false"/>
          <w:color w:val="000000"/>
          <w:spacing w:val="0"/>
          <w:sz w:val="20"/>
          <w:lang w:val="en-GB"/>
        </w:rPr>
      </w:pPr>
      <w:r>
        <w:rPr>
          <w:rFonts w:ascii="Arial;sans-serif" w:hAnsi="Arial;sans-serif"/>
          <w:b/>
          <w:i w:val="false"/>
          <w:caps w:val="false"/>
          <w:smallCaps w:val="false"/>
          <w:color w:val="000000"/>
          <w:spacing w:val="0"/>
          <w:sz w:val="20"/>
          <w:lang w:val="en-GB"/>
        </w:rPr>
        <w:t>Phần 3</w:t>
      </w:r>
    </w:p>
    <w:p>
      <w:pPr>
        <w:pStyle w:val="BodyText"/>
        <w:widowControl/>
        <w:pBdr/>
        <w:bidi w:val="0"/>
        <w:spacing w:lineRule="atLeast" w:line="225" w:before="120" w:after="120"/>
        <w:ind w:hanging="0" w:start="0" w:end="0"/>
        <w:jc w:val="center"/>
        <w:rPr>
          <w:rFonts w:ascii="Arial;sans-serif" w:hAnsi="Arial;sans-serif"/>
          <w:b/>
          <w:i w:val="false"/>
          <w:caps w:val="false"/>
          <w:smallCaps w:val="false"/>
          <w:color w:val="000000"/>
          <w:spacing w:val="0"/>
          <w:sz w:val="20"/>
          <w:lang w:val="en-GB"/>
        </w:rPr>
      </w:pPr>
      <w:r>
        <w:rPr>
          <w:rFonts w:ascii="Arial;sans-serif" w:hAnsi="Arial;sans-serif"/>
          <w:b/>
          <w:i w:val="false"/>
          <w:caps w:val="false"/>
          <w:smallCaps w:val="false"/>
          <w:color w:val="000000"/>
          <w:spacing w:val="0"/>
          <w:sz w:val="20"/>
          <w:lang w:val="en-GB"/>
        </w:rPr>
        <w:t>THÔNG TIN CHI TIẾT VỀ ĐỢT CHÀO BÁN TRÁI PHIẾU</w:t>
      </w:r>
    </w:p>
    <w:p>
      <w:pPr>
        <w:pStyle w:val="BodyText"/>
        <w:widowControl/>
        <w:pBdr/>
        <w:bidi w:val="0"/>
        <w:spacing w:lineRule="atLeast" w:line="225" w:before="120" w:after="120"/>
        <w:ind w:hanging="0" w:start="0" w:end="0"/>
        <w:jc w:val="start"/>
        <w:rPr>
          <w:rFonts w:ascii="Arial;sans-serif" w:hAnsi="Arial;sans-serif"/>
          <w:b/>
          <w:i w:val="false"/>
          <w:caps w:val="false"/>
          <w:smallCaps w:val="false"/>
          <w:color w:val="000000"/>
          <w:spacing w:val="0"/>
          <w:sz w:val="20"/>
          <w:lang w:val="en-GB"/>
        </w:rPr>
      </w:pPr>
      <w:r>
        <w:rPr>
          <w:rFonts w:ascii="Arial;sans-serif" w:hAnsi="Arial;sans-serif"/>
          <w:b/>
          <w:i w:val="false"/>
          <w:caps w:val="false"/>
          <w:smallCaps w:val="false"/>
          <w:color w:val="000000"/>
          <w:spacing w:val="0"/>
          <w:sz w:val="20"/>
          <w:lang w:val="en-GB"/>
        </w:rPr>
        <w:t>I. THÔNG TIN VỀ DOANH NGHIỆP PHÁT HÀNH</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1. Tóm tắt quá trình hình thành và phát triển: </w:t>
      </w:r>
      <w:r>
        <w:rPr>
          <w:rFonts w:ascii="Arial;sans-serif" w:hAnsi="Arial;sans-serif"/>
          <w:b w:val="false"/>
          <w:i/>
          <w:caps w:val="false"/>
          <w:smallCaps w:val="false"/>
          <w:color w:val="000000"/>
          <w:spacing w:val="0"/>
          <w:sz w:val="20"/>
          <w:lang w:val="en-GB"/>
        </w:rPr>
        <w:t>nêu rõ tên doanh nghiệp, loại hình doanh nghiệp (công ty đại chúng, công ty cổ phần chưa đại chúng, công ty trách nhiệm hữu hạn), ngành nghề kinh doanh chính, thời gian hoạt động kể từ ngày được cấp lần đầu Giấy chứng nhận đăng ký doanh nghiệp hoặc Giấy phép thành lập và hoạt động hoặc Giấy phép có giá trị tương đương theo quy định của pháp luật. Trường hợp doanh nghiệp phát hành là doanh nghiệp hình thành sau tổ chức lại doanh nghiệp, nêu rõ tên doanh nghiệp, Giấy chứng nhận đăng ký doanh nghiệp hoặc Giấy chứng nhận đăng ký kinh doanh hoặc Giấy phép có giá trị tương đương theo quy định của pháp luật, ngành nghề kinh doanh trước khi tổ chức lại.</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2. Cơ cấu tổ chức của doanh nghiệp:</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a) Nêu rõ về tổ chức, bộ máy:</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b) Vị trí của doanh nghiệp (Doanh nghiệp độc lập hay doanh nghiệp hoạt động theo mô hình công ty mẹ - con):</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 Trường hợp hoạt động theo mô hình công ty mẹ - con: danh sách công ty mẹ và công ty con của doanh nghiệp phát hành, những công ty mà doanh nghiệp phát hành đang nắm giữ quyền kiểm soát hoặc cổ phần chi phối, những công ty nắm quyền kiểm soát hoặc cổ phần chi phối đối với doanh nghiệp phát hành;</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 Hội đồng quản trị/Hội đồng thành viên/Chủ tịch công ty, Ban Giám đốc, Ban Kiểm soát, Ủy ban kiểm toán, Kế toán trưởng: (Họ và tên; Năm sinh; Quốc tịch; Trình độ văn hoá; Trình độ/lĩnh vực chuyên môn; Chức vụ hiện nay tại tổ chức).</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3. Tóm tắt hoạt động kinh doanh chính và/hoặc các dự án chính đã/đang triển khai của doanh nghiệp phát hành.</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4. Chính sách chia lợi nhuận hoặc cổ tức (nêu rõ tỷ lệ lợi nhuận đã chia hoặc tỷ lệ cổ tức trong hai năm liền kề trước năm phát hành và các chính sách liên quan đến việc chia lợi nhuận hoặc trả cổ tức): Chỉ áp dụng đối với trường hợp phát hành trái phiếu chuyển đổi hoặc kèm theo chứng quyền.</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5. Tình hình tài chính</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a) Các chỉ tiêu tài chính cơ bản của doanh nghiệp trong 3 năm liền kề trước năm phát hành theo báo cáo tài chính (</w:t>
      </w:r>
      <w:r>
        <w:rPr>
          <w:rFonts w:ascii="Arial;sans-serif" w:hAnsi="Arial;sans-serif"/>
          <w:b w:val="false"/>
          <w:i/>
          <w:caps w:val="false"/>
          <w:smallCaps w:val="false"/>
          <w:color w:val="000000"/>
          <w:spacing w:val="0"/>
          <w:sz w:val="20"/>
          <w:lang w:val="en-GB"/>
        </w:rPr>
        <w:t>trường hợp doanh nghiệp phát hành là công ty mẹ, các chỉ tiêu tài chính sử dụng số liệu theo báo cáo tài chính hợp nhất, đồng thời ghi rõ nguồn báo cáo; trường hợp doanh nghiệp phát hành có thời gian hoạt động chưa đủ 03 năm tính đến năm phát hành, doanh nghiệp công bố số liệu tài chính theo số năm hoạt động thực tế kể từ ngày được cấp Giấy chứng nhận đăng ký doanh nghiệp và ghi rõ lý do</w:t>
      </w:r>
      <w:r>
        <w:rPr>
          <w:rFonts w:ascii="Arial;sans-serif" w:hAnsi="Arial;sans-serif"/>
          <w:b w:val="false"/>
          <w:i w:val="false"/>
          <w:caps w:val="false"/>
          <w:smallCaps w:val="false"/>
          <w:color w:val="000000"/>
          <w:spacing w:val="0"/>
          <w:sz w:val="20"/>
          <w:lang w:val="en-GB"/>
        </w:rPr>
        <w:t>)</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5.1. Đối với doanh nghiệp phát hành không phải là tổ chức tín dụng</w:t>
      </w:r>
    </w:p>
    <w:tbl>
      <w:tblPr>
        <w:tblW w:w="5000" w:type="pct"/>
        <w:jc w:val="start"/>
        <w:tblInd w:w="-10" w:type="dxa"/>
        <w:tblLayout w:type="fixed"/>
        <w:tblCellMar>
          <w:top w:w="28" w:type="dxa"/>
          <w:start w:w="28" w:type="dxa"/>
          <w:bottom w:w="28" w:type="dxa"/>
          <w:end w:w="28" w:type="dxa"/>
        </w:tblCellMar>
      </w:tblPr>
      <w:tblGrid>
        <w:gridCol w:w="6983"/>
        <w:gridCol w:w="885"/>
        <w:gridCol w:w="786"/>
        <w:gridCol w:w="983"/>
      </w:tblGrid>
      <w:tr>
        <w:trPr>
          <w:tblHeader w:val="true"/>
        </w:trPr>
        <w:tc>
          <w:tcPr>
            <w:tcW w:w="6983" w:type="dxa"/>
            <w:tcBorders>
              <w:top w:val="single" w:sz="8" w:space="0" w:color="000000"/>
              <w:start w:val="single" w:sz="8" w:space="0" w:color="000000"/>
              <w:bottom w:val="single" w:sz="8" w:space="0" w:color="000000"/>
              <w:end w:val="single" w:sz="8" w:space="0" w:color="000000"/>
            </w:tcBorders>
            <w:vAlign w:val="center"/>
          </w:tcPr>
          <w:p>
            <w:pPr>
              <w:pStyle w:val="TableContents"/>
              <w:widowControl/>
              <w:pBdr/>
              <w:bidi w:val="0"/>
              <w:spacing w:lineRule="atLeast" w:line="225" w:before="120" w:after="120"/>
              <w:ind w:hanging="0" w:start="0" w:end="0"/>
              <w:jc w:val="center"/>
              <w:rPr>
                <w:rFonts w:ascii="Arial;sans-serif" w:hAnsi="Arial;sans-serif"/>
                <w:b/>
                <w:color w:val="000000"/>
                <w:sz w:val="20"/>
                <w:lang w:val="en-GB"/>
              </w:rPr>
            </w:pPr>
            <w:r>
              <w:rPr>
                <w:rFonts w:ascii="Arial;sans-serif" w:hAnsi="Arial;sans-serif"/>
                <w:b/>
                <w:color w:val="000000"/>
                <w:sz w:val="20"/>
                <w:lang w:val="en-GB"/>
              </w:rPr>
              <w:t>Chỉ tiêu</w:t>
            </w:r>
          </w:p>
        </w:tc>
        <w:tc>
          <w:tcPr>
            <w:tcW w:w="885" w:type="dxa"/>
            <w:tcBorders>
              <w:top w:val="single" w:sz="8" w:space="0" w:color="000000"/>
              <w:bottom w:val="single" w:sz="8" w:space="0" w:color="000000"/>
              <w:end w:val="single" w:sz="8" w:space="0" w:color="000000"/>
            </w:tcBorders>
            <w:tcMar>
              <w:start w:w="0" w:type="dxa"/>
            </w:tcMar>
            <w:vAlign w:val="center"/>
          </w:tcPr>
          <w:p>
            <w:pPr>
              <w:pStyle w:val="TableContents"/>
              <w:widowControl/>
              <w:pBdr/>
              <w:bidi w:val="0"/>
              <w:spacing w:lineRule="atLeast" w:line="225" w:before="120" w:after="120"/>
              <w:ind w:hanging="0" w:start="0" w:end="0"/>
              <w:jc w:val="center"/>
              <w:rPr>
                <w:rFonts w:ascii="Arial;sans-serif" w:hAnsi="Arial;sans-serif"/>
                <w:b/>
                <w:color w:val="000000"/>
                <w:sz w:val="20"/>
                <w:lang w:val="en-GB"/>
              </w:rPr>
            </w:pPr>
            <w:r>
              <w:rPr>
                <w:rFonts w:ascii="Arial;sans-serif" w:hAnsi="Arial;sans-serif"/>
                <w:b/>
                <w:color w:val="000000"/>
                <w:sz w:val="20"/>
                <w:lang w:val="en-GB"/>
              </w:rPr>
              <w:t>Năm ...</w:t>
            </w:r>
          </w:p>
        </w:tc>
        <w:tc>
          <w:tcPr>
            <w:tcW w:w="786" w:type="dxa"/>
            <w:tcBorders>
              <w:top w:val="single" w:sz="8" w:space="0" w:color="000000"/>
              <w:bottom w:val="single" w:sz="8" w:space="0" w:color="000000"/>
              <w:end w:val="single" w:sz="8" w:space="0" w:color="000000"/>
            </w:tcBorders>
            <w:tcMar>
              <w:start w:w="0" w:type="dxa"/>
            </w:tcMar>
            <w:vAlign w:val="center"/>
          </w:tcPr>
          <w:p>
            <w:pPr>
              <w:pStyle w:val="TableContents"/>
              <w:widowControl/>
              <w:pBdr/>
              <w:bidi w:val="0"/>
              <w:spacing w:lineRule="atLeast" w:line="225" w:before="120" w:after="120"/>
              <w:ind w:hanging="0" w:start="0" w:end="0"/>
              <w:jc w:val="center"/>
              <w:rPr>
                <w:rFonts w:ascii="Arial;sans-serif" w:hAnsi="Arial;sans-serif"/>
                <w:b/>
                <w:color w:val="000000"/>
                <w:sz w:val="20"/>
                <w:lang w:val="en-GB"/>
              </w:rPr>
            </w:pPr>
            <w:r>
              <w:rPr>
                <w:rFonts w:ascii="Arial;sans-serif" w:hAnsi="Arial;sans-serif"/>
                <w:b/>
                <w:color w:val="000000"/>
                <w:sz w:val="20"/>
                <w:lang w:val="en-GB"/>
              </w:rPr>
              <w:t>Năm...</w:t>
            </w:r>
          </w:p>
        </w:tc>
        <w:tc>
          <w:tcPr>
            <w:tcW w:w="983" w:type="dxa"/>
            <w:tcBorders>
              <w:top w:val="single" w:sz="8" w:space="0" w:color="000000"/>
              <w:bottom w:val="single" w:sz="8" w:space="0" w:color="000000"/>
              <w:end w:val="single" w:sz="8" w:space="0" w:color="000000"/>
            </w:tcBorders>
            <w:tcMar>
              <w:start w:w="0" w:type="dxa"/>
            </w:tcMar>
            <w:vAlign w:val="center"/>
          </w:tcPr>
          <w:p>
            <w:pPr>
              <w:pStyle w:val="TableContents"/>
              <w:widowControl/>
              <w:pBdr/>
              <w:bidi w:val="0"/>
              <w:spacing w:lineRule="atLeast" w:line="225" w:before="120" w:after="120"/>
              <w:ind w:hanging="0" w:start="0" w:end="0"/>
              <w:jc w:val="center"/>
              <w:rPr>
                <w:rFonts w:ascii="Arial;sans-serif" w:hAnsi="Arial;sans-serif"/>
                <w:b/>
                <w:color w:val="000000"/>
                <w:sz w:val="20"/>
                <w:lang w:val="en-GB"/>
              </w:rPr>
            </w:pPr>
            <w:r>
              <w:rPr>
                <w:rFonts w:ascii="Arial;sans-serif" w:hAnsi="Arial;sans-serif"/>
                <w:b/>
                <w:color w:val="000000"/>
                <w:sz w:val="20"/>
                <w:lang w:val="en-GB"/>
              </w:rPr>
              <w:t>Năm...</w:t>
            </w:r>
          </w:p>
        </w:tc>
      </w:tr>
      <w:tr>
        <w:trPr/>
        <w:tc>
          <w:tcPr>
            <w:tcW w:w="6983" w:type="dxa"/>
            <w:tcBorders>
              <w:bottom w:val="single" w:sz="8" w:space="0" w:color="000000"/>
              <w:end w:val="single" w:sz="8" w:space="0" w:color="000000"/>
            </w:tcBorders>
            <w:tcMar>
              <w:top w:w="0" w:type="dxa"/>
              <w:start w:w="0" w:type="dxa"/>
            </w:tcMar>
            <w:vAlign w:val="center"/>
          </w:tcPr>
          <w:p>
            <w:pPr>
              <w:pStyle w:val="TableContents"/>
              <w:widowControl/>
              <w:pBdr/>
              <w:bidi w:val="0"/>
              <w:spacing w:lineRule="atLeast" w:line="225" w:before="120" w:after="120"/>
              <w:ind w:hanging="0" w:start="0" w:end="0"/>
              <w:jc w:val="center"/>
              <w:rPr>
                <w:rFonts w:ascii="Arial;sans-serif" w:hAnsi="Arial;sans-serif"/>
                <w:b/>
                <w:color w:val="000000"/>
                <w:sz w:val="20"/>
                <w:lang w:val="en-GB"/>
              </w:rPr>
            </w:pPr>
            <w:r>
              <w:rPr>
                <w:rFonts w:ascii="Arial;sans-serif" w:hAnsi="Arial;sans-serif"/>
                <w:b/>
                <w:color w:val="000000"/>
                <w:sz w:val="20"/>
                <w:lang w:val="en-GB"/>
              </w:rPr>
              <w:t>1. Tổng tài sản (đồng)</w:t>
            </w:r>
          </w:p>
          <w:p>
            <w:pPr>
              <w:pStyle w:val="TableContents"/>
              <w:widowControl/>
              <w:pBdr/>
              <w:bidi w:val="0"/>
              <w:spacing w:lineRule="atLeast" w:line="225" w:before="120" w:after="120"/>
              <w:ind w:hanging="0" w:start="0" w:end="0"/>
              <w:jc w:val="center"/>
              <w:rPr>
                <w:rFonts w:ascii="Arial;sans-serif" w:hAnsi="Arial;sans-serif"/>
                <w:color w:val="000000"/>
                <w:sz w:val="20"/>
                <w:lang w:val="en-GB"/>
              </w:rPr>
            </w:pPr>
            <w:r>
              <w:rPr>
                <w:rFonts w:ascii="Arial;sans-serif" w:hAnsi="Arial;sans-serif"/>
                <w:color w:val="000000"/>
                <w:sz w:val="20"/>
                <w:lang w:val="en-GB"/>
              </w:rPr>
              <w:t>- Tài sản ngắn hạn:</w:t>
            </w:r>
          </w:p>
          <w:p>
            <w:pPr>
              <w:pStyle w:val="TableContents"/>
              <w:widowControl/>
              <w:pBdr/>
              <w:bidi w:val="0"/>
              <w:spacing w:lineRule="atLeast" w:line="225" w:before="120" w:after="0"/>
              <w:ind w:hanging="0" w:start="0" w:end="0"/>
              <w:jc w:val="center"/>
              <w:rPr>
                <w:rFonts w:ascii="Arial;sans-serif" w:hAnsi="Arial;sans-serif"/>
                <w:color w:val="000000"/>
                <w:sz w:val="20"/>
                <w:lang w:val="nl-NL"/>
              </w:rPr>
            </w:pPr>
            <w:r>
              <w:rPr>
                <w:rFonts w:ascii="Arial;sans-serif" w:hAnsi="Arial;sans-serif"/>
                <w:color w:val="000000"/>
                <w:sz w:val="20"/>
                <w:lang w:val="nl-NL"/>
              </w:rPr>
              <w:t>- Tài sản dài hạn:</w:t>
            </w:r>
          </w:p>
          <w:p>
            <w:pPr>
              <w:pStyle w:val="TableContents"/>
              <w:widowControl/>
              <w:pBdr/>
              <w:bidi w:val="0"/>
              <w:spacing w:lineRule="atLeast" w:line="225" w:before="120" w:after="120"/>
              <w:ind w:hanging="0" w:start="0" w:end="0"/>
              <w:jc w:val="center"/>
              <w:rPr>
                <w:rFonts w:ascii="Arial;sans-serif" w:hAnsi="Arial;sans-serif"/>
                <w:b/>
                <w:color w:val="000000"/>
                <w:sz w:val="20"/>
                <w:lang w:val="en-GB"/>
              </w:rPr>
            </w:pPr>
            <w:r>
              <w:rPr>
                <w:rFonts w:ascii="Arial;sans-serif" w:hAnsi="Arial;sans-serif"/>
                <w:b/>
                <w:color w:val="000000"/>
                <w:sz w:val="20"/>
                <w:lang w:val="en-GB"/>
              </w:rPr>
              <w:t>2. Vốn chủ sở hữu (đồng)</w:t>
            </w:r>
          </w:p>
          <w:p>
            <w:pPr>
              <w:pStyle w:val="TableContents"/>
              <w:widowControl/>
              <w:pBdr/>
              <w:bidi w:val="0"/>
              <w:spacing w:lineRule="atLeast" w:line="225" w:before="120" w:after="120"/>
              <w:ind w:hanging="0" w:start="0" w:end="0"/>
              <w:jc w:val="center"/>
              <w:rPr>
                <w:rFonts w:ascii="Arial;sans-serif" w:hAnsi="Arial;sans-serif"/>
                <w:color w:val="000000"/>
                <w:sz w:val="20"/>
                <w:lang w:val="en-GB"/>
              </w:rPr>
            </w:pPr>
            <w:r>
              <w:rPr>
                <w:rFonts w:ascii="Arial;sans-serif" w:hAnsi="Arial;sans-serif"/>
                <w:color w:val="000000"/>
                <w:sz w:val="20"/>
                <w:lang w:val="en-GB"/>
              </w:rPr>
              <w:t>- Vốn đầu tư của chủ sở hữu</w:t>
            </w:r>
          </w:p>
          <w:p>
            <w:pPr>
              <w:pStyle w:val="TableContents"/>
              <w:widowControl/>
              <w:pBdr/>
              <w:bidi w:val="0"/>
              <w:spacing w:lineRule="atLeast" w:line="225" w:before="120" w:after="120"/>
              <w:ind w:hanging="0" w:start="0" w:end="0"/>
              <w:jc w:val="center"/>
              <w:rPr>
                <w:rFonts w:ascii="Arial;sans-serif" w:hAnsi="Arial;sans-serif"/>
                <w:color w:val="000000"/>
                <w:sz w:val="20"/>
                <w:lang w:val="en-GB"/>
              </w:rPr>
            </w:pPr>
            <w:r>
              <w:rPr>
                <w:rFonts w:ascii="Arial;sans-serif" w:hAnsi="Arial;sans-serif"/>
                <w:color w:val="000000"/>
                <w:sz w:val="20"/>
                <w:lang w:val="en-GB"/>
              </w:rPr>
              <w:t>- Các quỹ trích từ lợi nhuận sau thuế</w:t>
            </w:r>
          </w:p>
          <w:p>
            <w:pPr>
              <w:pStyle w:val="TableContents"/>
              <w:widowControl/>
              <w:pBdr/>
              <w:bidi w:val="0"/>
              <w:spacing w:lineRule="atLeast" w:line="225" w:before="120" w:after="120"/>
              <w:ind w:hanging="0" w:start="0" w:end="0"/>
              <w:jc w:val="center"/>
              <w:rPr>
                <w:rFonts w:ascii="Arial;sans-serif" w:hAnsi="Arial;sans-serif"/>
                <w:color w:val="000000"/>
                <w:sz w:val="20"/>
                <w:lang w:val="en-GB"/>
              </w:rPr>
            </w:pPr>
            <w:r>
              <w:rPr>
                <w:rFonts w:ascii="Arial;sans-serif" w:hAnsi="Arial;sans-serif"/>
                <w:color w:val="000000"/>
                <w:sz w:val="20"/>
                <w:lang w:val="en-GB"/>
              </w:rPr>
              <w:t>- Lợi nhuận sau thuế chưa phân phối</w:t>
            </w:r>
          </w:p>
          <w:p>
            <w:pPr>
              <w:pStyle w:val="TableContents"/>
              <w:widowControl/>
              <w:pBdr/>
              <w:bidi w:val="0"/>
              <w:spacing w:lineRule="atLeast" w:line="225" w:before="120" w:after="120"/>
              <w:ind w:hanging="0" w:start="0" w:end="0"/>
              <w:jc w:val="center"/>
              <w:rPr>
                <w:rFonts w:ascii="Arial;sans-serif" w:hAnsi="Arial;sans-serif"/>
                <w:color w:val="000000"/>
                <w:sz w:val="20"/>
                <w:lang w:val="en-GB"/>
              </w:rPr>
            </w:pPr>
            <w:r>
              <w:rPr>
                <w:rFonts w:ascii="Arial;sans-serif" w:hAnsi="Arial;sans-serif"/>
                <w:color w:val="000000"/>
                <w:sz w:val="20"/>
                <w:lang w:val="en-GB"/>
              </w:rPr>
              <w:t>- Chênh lệch đánh giá lại tài sản</w:t>
            </w:r>
          </w:p>
          <w:p>
            <w:pPr>
              <w:pStyle w:val="TableContents"/>
              <w:widowControl/>
              <w:pBdr/>
              <w:bidi w:val="0"/>
              <w:spacing w:lineRule="atLeast" w:line="225" w:before="120" w:after="120"/>
              <w:ind w:hanging="0" w:start="0" w:end="0"/>
              <w:jc w:val="center"/>
              <w:rPr>
                <w:rFonts w:ascii="Arial;sans-serif" w:hAnsi="Arial;sans-serif"/>
                <w:color w:val="000000"/>
                <w:sz w:val="20"/>
                <w:lang w:val="en-GB"/>
              </w:rPr>
            </w:pPr>
            <w:r>
              <w:rPr>
                <w:rFonts w:ascii="Arial;sans-serif" w:hAnsi="Arial;sans-serif"/>
                <w:color w:val="000000"/>
                <w:sz w:val="20"/>
                <w:lang w:val="en-GB"/>
              </w:rPr>
              <w:t>- Chênh lệch tỷ giá</w:t>
            </w:r>
          </w:p>
          <w:p>
            <w:pPr>
              <w:pStyle w:val="TableContents"/>
              <w:widowControl/>
              <w:pBdr/>
              <w:bidi w:val="0"/>
              <w:spacing w:lineRule="atLeast" w:line="225" w:before="120" w:after="120"/>
              <w:ind w:hanging="0" w:start="0" w:end="0"/>
              <w:jc w:val="center"/>
              <w:rPr>
                <w:rFonts w:ascii="Arial;sans-serif" w:hAnsi="Arial;sans-serif"/>
                <w:color w:val="000000"/>
                <w:sz w:val="20"/>
                <w:lang w:val="en-GB"/>
              </w:rPr>
            </w:pPr>
            <w:r>
              <w:rPr>
                <w:rFonts w:ascii="Arial;sans-serif" w:hAnsi="Arial;sans-serif"/>
                <w:color w:val="000000"/>
                <w:sz w:val="20"/>
                <w:lang w:val="en-GB"/>
              </w:rPr>
              <w:t>- …</w:t>
            </w:r>
          </w:p>
          <w:p>
            <w:pPr>
              <w:pStyle w:val="TableContents"/>
              <w:widowControl/>
              <w:pBdr/>
              <w:bidi w:val="0"/>
              <w:spacing w:lineRule="atLeast" w:line="225" w:before="120" w:after="120"/>
              <w:ind w:hanging="0" w:start="0" w:end="0"/>
              <w:jc w:val="center"/>
              <w:rPr>
                <w:rFonts w:ascii="Arial;sans-serif" w:hAnsi="Arial;sans-serif"/>
                <w:b/>
                <w:color w:val="000000"/>
                <w:sz w:val="20"/>
                <w:lang w:val="en-GB"/>
              </w:rPr>
            </w:pPr>
            <w:r>
              <w:rPr>
                <w:rFonts w:ascii="Arial;sans-serif" w:hAnsi="Arial;sans-serif"/>
                <w:b/>
                <w:color w:val="000000"/>
                <w:sz w:val="20"/>
                <w:lang w:val="en-GB"/>
              </w:rPr>
              <w:t>3. Tổng số nợ phải trả (đồng)</w:t>
            </w:r>
          </w:p>
          <w:p>
            <w:pPr>
              <w:pStyle w:val="TableContents"/>
              <w:widowControl/>
              <w:pBdr/>
              <w:bidi w:val="0"/>
              <w:spacing w:lineRule="atLeast" w:line="225" w:before="120" w:after="120"/>
              <w:ind w:hanging="0" w:start="0" w:end="0"/>
              <w:jc w:val="center"/>
              <w:rPr>
                <w:rFonts w:ascii="Arial;sans-serif" w:hAnsi="Arial;sans-serif"/>
                <w:color w:val="000000"/>
                <w:sz w:val="20"/>
                <w:lang w:val="en-GB"/>
              </w:rPr>
            </w:pPr>
            <w:r>
              <w:rPr>
                <w:rFonts w:ascii="Arial;sans-serif" w:hAnsi="Arial;sans-serif"/>
                <w:color w:val="000000"/>
                <w:sz w:val="20"/>
                <w:lang w:val="en-GB"/>
              </w:rPr>
              <w:t>- Nợ vay ngân hàng</w:t>
            </w:r>
          </w:p>
          <w:p>
            <w:pPr>
              <w:pStyle w:val="TableContents"/>
              <w:widowControl/>
              <w:pBdr/>
              <w:bidi w:val="0"/>
              <w:spacing w:lineRule="atLeast" w:line="225" w:before="120" w:after="120"/>
              <w:ind w:hanging="0" w:start="0" w:end="0"/>
              <w:jc w:val="center"/>
              <w:rPr>
                <w:rFonts w:ascii="Arial;sans-serif" w:hAnsi="Arial;sans-serif"/>
                <w:color w:val="000000"/>
                <w:sz w:val="20"/>
                <w:lang w:val="en-GB"/>
              </w:rPr>
            </w:pPr>
            <w:r>
              <w:rPr>
                <w:rFonts w:ascii="Arial;sans-serif" w:hAnsi="Arial;sans-serif"/>
                <w:color w:val="000000"/>
                <w:sz w:val="20"/>
                <w:lang w:val="en-GB"/>
              </w:rPr>
              <w:t>- Nợ vay từ phát hành trái phiếu</w:t>
            </w:r>
          </w:p>
          <w:p>
            <w:pPr>
              <w:pStyle w:val="TableContents"/>
              <w:widowControl/>
              <w:pBdr/>
              <w:bidi w:val="0"/>
              <w:spacing w:lineRule="atLeast" w:line="225" w:before="120" w:after="120"/>
              <w:ind w:hanging="0" w:start="0" w:end="0"/>
              <w:jc w:val="center"/>
              <w:rPr>
                <w:rFonts w:ascii="Arial;sans-serif" w:hAnsi="Arial;sans-serif"/>
                <w:color w:val="000000"/>
                <w:sz w:val="20"/>
                <w:lang w:val="en-GB"/>
              </w:rPr>
            </w:pPr>
            <w:r>
              <w:rPr>
                <w:rFonts w:ascii="Arial;sans-serif" w:hAnsi="Arial;sans-serif"/>
                <w:color w:val="000000"/>
                <w:sz w:val="20"/>
                <w:lang w:val="en-GB"/>
              </w:rPr>
              <w:t>+ Trái phiếu chào bán riêng lẻ tại thị trường trong nước</w:t>
            </w:r>
          </w:p>
          <w:p>
            <w:pPr>
              <w:pStyle w:val="TableContents"/>
              <w:widowControl/>
              <w:pBdr/>
              <w:bidi w:val="0"/>
              <w:spacing w:lineRule="atLeast" w:line="225" w:before="120" w:after="120"/>
              <w:ind w:hanging="0" w:start="0" w:end="0"/>
              <w:jc w:val="center"/>
              <w:rPr>
                <w:rFonts w:ascii="Arial;sans-serif" w:hAnsi="Arial;sans-serif"/>
                <w:color w:val="000000"/>
                <w:sz w:val="20"/>
                <w:lang w:val="en-GB"/>
              </w:rPr>
            </w:pPr>
            <w:r>
              <w:rPr>
                <w:rFonts w:ascii="Arial;sans-serif" w:hAnsi="Arial;sans-serif"/>
                <w:color w:val="000000"/>
                <w:sz w:val="20"/>
                <w:lang w:val="en-GB"/>
              </w:rPr>
              <w:t>+ Trái phiếu chào bán ra công chúng tại thị trường trong nước</w:t>
            </w:r>
          </w:p>
          <w:p>
            <w:pPr>
              <w:pStyle w:val="TableContents"/>
              <w:widowControl/>
              <w:pBdr/>
              <w:bidi w:val="0"/>
              <w:spacing w:lineRule="atLeast" w:line="225" w:before="120" w:after="120"/>
              <w:ind w:hanging="0" w:start="0" w:end="0"/>
              <w:jc w:val="center"/>
              <w:rPr>
                <w:rFonts w:ascii="Arial;sans-serif" w:hAnsi="Arial;sans-serif"/>
                <w:color w:val="000000"/>
                <w:sz w:val="20"/>
                <w:lang w:val="en-GB"/>
              </w:rPr>
            </w:pPr>
            <w:r>
              <w:rPr>
                <w:rFonts w:ascii="Arial;sans-serif" w:hAnsi="Arial;sans-serif"/>
                <w:color w:val="000000"/>
                <w:sz w:val="20"/>
                <w:lang w:val="en-GB"/>
              </w:rPr>
              <w:t>+ Trái phiếu chào bán ra thị trường quốc tế</w:t>
            </w:r>
          </w:p>
          <w:p>
            <w:pPr>
              <w:pStyle w:val="TableContents"/>
              <w:widowControl/>
              <w:pBdr/>
              <w:bidi w:val="0"/>
              <w:spacing w:lineRule="atLeast" w:line="225" w:before="120" w:after="120"/>
              <w:ind w:hanging="0" w:start="0" w:end="0"/>
              <w:jc w:val="center"/>
              <w:rPr>
                <w:rFonts w:ascii="Arial;sans-serif" w:hAnsi="Arial;sans-serif"/>
                <w:color w:val="000000"/>
                <w:sz w:val="20"/>
                <w:lang w:val="en-GB"/>
              </w:rPr>
            </w:pPr>
            <w:r>
              <w:rPr>
                <w:rFonts w:ascii="Arial;sans-serif" w:hAnsi="Arial;sans-serif"/>
                <w:color w:val="000000"/>
                <w:sz w:val="20"/>
                <w:lang w:val="en-GB"/>
              </w:rPr>
              <w:t>- Nợ phải trả khác</w:t>
            </w:r>
          </w:p>
          <w:p>
            <w:pPr>
              <w:pStyle w:val="TableContents"/>
              <w:widowControl/>
              <w:pBdr/>
              <w:bidi w:val="0"/>
              <w:spacing w:lineRule="atLeast" w:line="225" w:before="120" w:after="120"/>
              <w:ind w:hanging="0" w:start="0" w:end="0"/>
              <w:jc w:val="center"/>
              <w:rPr>
                <w:rFonts w:ascii="Arial;sans-serif" w:hAnsi="Arial;sans-serif"/>
                <w:color w:val="000000"/>
                <w:sz w:val="20"/>
                <w:lang w:val="en-GB"/>
              </w:rPr>
            </w:pPr>
            <w:r>
              <w:rPr>
                <w:rFonts w:ascii="Arial;sans-serif" w:hAnsi="Arial;sans-serif"/>
                <w:color w:val="000000"/>
                <w:sz w:val="20"/>
                <w:lang w:val="en-GB"/>
              </w:rPr>
              <w:t>(</w:t>
            </w:r>
            <w:r>
              <w:rPr>
                <w:rFonts w:ascii="Arial;sans-serif" w:hAnsi="Arial;sans-serif"/>
                <w:i/>
                <w:color w:val="000000"/>
                <w:sz w:val="20"/>
                <w:lang w:val="en-GB"/>
              </w:rPr>
              <w:t>Nêu cụ thể các khoản nợ phải trả</w:t>
            </w:r>
            <w:r>
              <w:rPr>
                <w:rFonts w:ascii="Arial;sans-serif" w:hAnsi="Arial;sans-serif"/>
                <w:color w:val="000000"/>
                <w:sz w:val="20"/>
                <w:lang w:val="en-GB"/>
              </w:rPr>
              <w:t>)</w:t>
            </w:r>
          </w:p>
          <w:p>
            <w:pPr>
              <w:pStyle w:val="TableContents"/>
              <w:widowControl/>
              <w:pBdr/>
              <w:bidi w:val="0"/>
              <w:spacing w:lineRule="atLeast" w:line="225" w:before="120" w:after="120"/>
              <w:ind w:hanging="0" w:start="0" w:end="0"/>
              <w:jc w:val="center"/>
              <w:rPr>
                <w:rFonts w:ascii="Arial;sans-serif" w:hAnsi="Arial;sans-serif"/>
                <w:color w:val="000000"/>
                <w:sz w:val="20"/>
                <w:lang w:val="en-GB"/>
              </w:rPr>
            </w:pPr>
            <w:r>
              <w:rPr>
                <w:rFonts w:ascii="Arial;sans-serif" w:hAnsi="Arial;sans-serif"/>
                <w:color w:val="000000"/>
                <w:sz w:val="20"/>
                <w:lang w:val="en-GB"/>
              </w:rPr>
              <w:t>- Các khoản nợ phải trả quá hạn (nếu có)</w:t>
            </w:r>
          </w:p>
          <w:p>
            <w:pPr>
              <w:pStyle w:val="TableContents"/>
              <w:widowControl/>
              <w:pBdr/>
              <w:bidi w:val="0"/>
              <w:spacing w:lineRule="atLeast" w:line="225" w:before="120" w:after="120"/>
              <w:ind w:hanging="0" w:start="0" w:end="0"/>
              <w:jc w:val="center"/>
              <w:rPr>
                <w:rFonts w:ascii="Arial;sans-serif" w:hAnsi="Arial;sans-serif"/>
                <w:b/>
                <w:color w:val="000000"/>
                <w:sz w:val="20"/>
                <w:lang w:val="en-GB"/>
              </w:rPr>
            </w:pPr>
            <w:r>
              <w:rPr>
                <w:rFonts w:ascii="Arial;sans-serif" w:hAnsi="Arial;sans-serif"/>
                <w:b/>
                <w:color w:val="000000"/>
                <w:sz w:val="20"/>
                <w:lang w:val="en-GB"/>
              </w:rPr>
              <w:t>4. Cơ cấu vốn (lần):</w:t>
            </w:r>
          </w:p>
          <w:p>
            <w:pPr>
              <w:pStyle w:val="TableContents"/>
              <w:widowControl/>
              <w:pBdr/>
              <w:bidi w:val="0"/>
              <w:spacing w:lineRule="atLeast" w:line="225" w:before="120" w:after="120"/>
              <w:ind w:hanging="0" w:start="0" w:end="0"/>
              <w:jc w:val="center"/>
              <w:rPr>
                <w:rFonts w:ascii="Arial;sans-serif" w:hAnsi="Arial;sans-serif"/>
                <w:color w:val="000000"/>
                <w:sz w:val="20"/>
                <w:lang w:val="en-GB"/>
              </w:rPr>
            </w:pPr>
            <w:r>
              <w:rPr>
                <w:rFonts w:ascii="Arial;sans-serif" w:hAnsi="Arial;sans-serif"/>
                <w:color w:val="000000"/>
                <w:sz w:val="20"/>
                <w:lang w:val="en-GB"/>
              </w:rPr>
              <w:t>- Hệ số nợ phải trả/Tổng tài sản</w:t>
            </w:r>
          </w:p>
          <w:p>
            <w:pPr>
              <w:pStyle w:val="TableContents"/>
              <w:widowControl/>
              <w:pBdr/>
              <w:bidi w:val="0"/>
              <w:spacing w:lineRule="atLeast" w:line="225" w:before="120" w:after="120"/>
              <w:ind w:hanging="0" w:start="0" w:end="0"/>
              <w:jc w:val="center"/>
              <w:rPr>
                <w:rFonts w:ascii="Arial;sans-serif" w:hAnsi="Arial;sans-serif"/>
                <w:color w:val="000000"/>
                <w:sz w:val="20"/>
                <w:lang w:val="en-GB"/>
              </w:rPr>
            </w:pPr>
            <w:r>
              <w:rPr>
                <w:rFonts w:ascii="Arial;sans-serif" w:hAnsi="Arial;sans-serif"/>
                <w:color w:val="000000"/>
                <w:sz w:val="20"/>
                <w:lang w:val="en-GB"/>
              </w:rPr>
              <w:t>- Hệ số nợ phải trả/Vốn chủ sở hữu</w:t>
            </w:r>
          </w:p>
          <w:p>
            <w:pPr>
              <w:pStyle w:val="TableContents"/>
              <w:widowControl/>
              <w:pBdr/>
              <w:bidi w:val="0"/>
              <w:spacing w:lineRule="atLeast" w:line="225" w:before="120" w:after="120"/>
              <w:ind w:hanging="0" w:start="0" w:end="0"/>
              <w:jc w:val="center"/>
              <w:rPr>
                <w:rFonts w:ascii="Arial;sans-serif" w:hAnsi="Arial;sans-serif"/>
                <w:b/>
                <w:color w:val="000000"/>
                <w:sz w:val="20"/>
                <w:lang w:val="en-GB"/>
              </w:rPr>
            </w:pPr>
            <w:r>
              <w:rPr>
                <w:rFonts w:ascii="Arial;sans-serif" w:hAnsi="Arial;sans-serif"/>
                <w:b/>
                <w:color w:val="000000"/>
                <w:sz w:val="20"/>
                <w:lang w:val="en-GB"/>
              </w:rPr>
              <w:t>5. Khả năng thanh toán (lần):</w:t>
            </w:r>
          </w:p>
          <w:p>
            <w:pPr>
              <w:pStyle w:val="TableContents"/>
              <w:widowControl/>
              <w:pBdr/>
              <w:bidi w:val="0"/>
              <w:spacing w:lineRule="atLeast" w:line="225" w:before="120" w:after="120"/>
              <w:ind w:hanging="0" w:start="0" w:end="0"/>
              <w:jc w:val="center"/>
              <w:rPr>
                <w:rFonts w:ascii="Arial;sans-serif" w:hAnsi="Arial;sans-serif"/>
                <w:color w:val="000000"/>
                <w:sz w:val="20"/>
                <w:lang w:val="en-GB"/>
              </w:rPr>
            </w:pPr>
            <w:r>
              <w:rPr>
                <w:rFonts w:ascii="Arial;sans-serif" w:hAnsi="Arial;sans-serif"/>
                <w:color w:val="000000"/>
                <w:sz w:val="20"/>
                <w:lang w:val="en-GB"/>
              </w:rPr>
              <w:t>- Hệ số thanh toán ngắn hạn (tài sản ngắn hạn/nợ ngắn hạn)</w:t>
            </w:r>
          </w:p>
          <w:p>
            <w:pPr>
              <w:pStyle w:val="TableContents"/>
              <w:widowControl/>
              <w:pBdr/>
              <w:bidi w:val="0"/>
              <w:spacing w:lineRule="atLeast" w:line="225" w:before="120" w:after="120"/>
              <w:ind w:hanging="0" w:start="0" w:end="0"/>
              <w:jc w:val="center"/>
              <w:rPr>
                <w:rFonts w:ascii="Arial;sans-serif" w:hAnsi="Arial;sans-serif"/>
                <w:color w:val="000000"/>
                <w:sz w:val="20"/>
                <w:lang w:val="en-GB"/>
              </w:rPr>
            </w:pPr>
            <w:r>
              <w:rPr>
                <w:rFonts w:ascii="Arial;sans-serif" w:hAnsi="Arial;sans-serif"/>
                <w:color w:val="000000"/>
                <w:sz w:val="20"/>
                <w:lang w:val="en-GB"/>
              </w:rPr>
              <w:t>- Hệ số thanh toán nhanh ((tài sản ngắn hạn - hàng tồn kho)/nợ ngắn hạn)</w:t>
            </w:r>
          </w:p>
          <w:p>
            <w:pPr>
              <w:pStyle w:val="TableContents"/>
              <w:widowControl/>
              <w:pBdr/>
              <w:bidi w:val="0"/>
              <w:spacing w:lineRule="atLeast" w:line="225" w:before="120" w:after="120"/>
              <w:ind w:hanging="0" w:start="0" w:end="0"/>
              <w:jc w:val="center"/>
              <w:rPr>
                <w:rFonts w:ascii="Arial;sans-serif" w:hAnsi="Arial;sans-serif"/>
                <w:color w:val="000000"/>
                <w:sz w:val="20"/>
                <w:lang w:val="en-GB"/>
              </w:rPr>
            </w:pPr>
            <w:r>
              <w:rPr>
                <w:rFonts w:ascii="Arial;sans-serif" w:hAnsi="Arial;sans-serif"/>
                <w:color w:val="000000"/>
                <w:sz w:val="20"/>
                <w:lang w:val="en-GB"/>
              </w:rPr>
              <w:t>- Hệ số thanh toán lãi vay (lợi nhuận trước thuế và lãi vay/lãi vay)</w:t>
            </w:r>
          </w:p>
          <w:p>
            <w:pPr>
              <w:pStyle w:val="TableContents"/>
              <w:widowControl/>
              <w:pBdr/>
              <w:bidi w:val="0"/>
              <w:spacing w:lineRule="atLeast" w:line="225" w:before="120" w:after="120"/>
              <w:ind w:hanging="0" w:start="0" w:end="0"/>
              <w:jc w:val="center"/>
              <w:rPr>
                <w:rFonts w:ascii="Arial;sans-serif" w:hAnsi="Arial;sans-serif"/>
                <w:b/>
                <w:color w:val="000000"/>
                <w:sz w:val="20"/>
                <w:lang w:val="en-GB"/>
              </w:rPr>
            </w:pPr>
            <w:r>
              <w:rPr>
                <w:rFonts w:ascii="Arial;sans-serif" w:hAnsi="Arial;sans-serif"/>
                <w:b/>
                <w:color w:val="000000"/>
                <w:sz w:val="20"/>
                <w:lang w:val="en-GB"/>
              </w:rPr>
              <w:t>6. Tổng dư nợ trái phiếu/vốn chủ sở hữu (lần):</w:t>
            </w:r>
          </w:p>
          <w:p>
            <w:pPr>
              <w:pStyle w:val="TableContents"/>
              <w:widowControl/>
              <w:pBdr/>
              <w:bidi w:val="0"/>
              <w:spacing w:lineRule="atLeast" w:line="225" w:before="120" w:after="120"/>
              <w:ind w:hanging="0" w:start="0" w:end="0"/>
              <w:jc w:val="center"/>
              <w:rPr>
                <w:rFonts w:ascii="Arial;sans-serif" w:hAnsi="Arial;sans-serif"/>
                <w:color w:val="000000"/>
                <w:sz w:val="20"/>
                <w:lang w:val="en-GB"/>
              </w:rPr>
            </w:pPr>
            <w:r>
              <w:rPr>
                <w:rFonts w:ascii="Arial;sans-serif" w:hAnsi="Arial;sans-serif"/>
                <w:color w:val="000000"/>
                <w:sz w:val="20"/>
                <w:lang w:val="en-GB"/>
              </w:rPr>
              <w:t>- Hệ số tổng dư nợ trái phiếu doanh nghiệp/Vốn chủ sở hữu</w:t>
            </w:r>
          </w:p>
          <w:p>
            <w:pPr>
              <w:pStyle w:val="TableContents"/>
              <w:widowControl/>
              <w:pBdr/>
              <w:bidi w:val="0"/>
              <w:spacing w:lineRule="atLeast" w:line="225" w:before="120" w:after="120"/>
              <w:ind w:hanging="0" w:start="0" w:end="0"/>
              <w:jc w:val="center"/>
              <w:rPr>
                <w:rFonts w:ascii="Arial;sans-serif" w:hAnsi="Arial;sans-serif"/>
                <w:color w:val="000000"/>
                <w:sz w:val="20"/>
                <w:lang w:val="en-GB"/>
              </w:rPr>
            </w:pPr>
            <w:r>
              <w:rPr>
                <w:rFonts w:ascii="Arial;sans-serif" w:hAnsi="Arial;sans-serif"/>
                <w:color w:val="000000"/>
                <w:sz w:val="20"/>
                <w:lang w:val="en-GB"/>
              </w:rPr>
              <w:t>- Hệ số dư nợ trái phiếu doanh nghiệp riêng lẻ/Vốn chủ sở hữu</w:t>
            </w:r>
          </w:p>
          <w:p>
            <w:pPr>
              <w:pStyle w:val="TableContents"/>
              <w:widowControl/>
              <w:pBdr/>
              <w:bidi w:val="0"/>
              <w:spacing w:lineRule="atLeast" w:line="225" w:before="120" w:after="120"/>
              <w:ind w:hanging="0" w:start="0" w:end="0"/>
              <w:jc w:val="center"/>
              <w:rPr>
                <w:rFonts w:ascii="Arial;sans-serif" w:hAnsi="Arial;sans-serif"/>
                <w:b/>
                <w:color w:val="000000"/>
                <w:sz w:val="20"/>
                <w:lang w:val="en-GB"/>
              </w:rPr>
            </w:pPr>
            <w:r>
              <w:rPr>
                <w:rFonts w:ascii="Arial;sans-serif" w:hAnsi="Arial;sans-serif"/>
                <w:b/>
                <w:color w:val="000000"/>
                <w:sz w:val="20"/>
                <w:lang w:val="en-GB"/>
              </w:rPr>
              <w:t>7. Lợi nhuận (đồng):</w:t>
            </w:r>
          </w:p>
          <w:p>
            <w:pPr>
              <w:pStyle w:val="TableContents"/>
              <w:widowControl/>
              <w:pBdr/>
              <w:bidi w:val="0"/>
              <w:spacing w:lineRule="atLeast" w:line="225" w:before="120" w:after="120"/>
              <w:ind w:hanging="0" w:start="0" w:end="0"/>
              <w:jc w:val="center"/>
              <w:rPr>
                <w:rFonts w:ascii="Arial;sans-serif" w:hAnsi="Arial;sans-serif"/>
                <w:color w:val="000000"/>
                <w:sz w:val="20"/>
                <w:lang w:val="en-GB"/>
              </w:rPr>
            </w:pPr>
            <w:r>
              <w:rPr>
                <w:rFonts w:ascii="Arial;sans-serif" w:hAnsi="Arial;sans-serif"/>
                <w:color w:val="000000"/>
                <w:sz w:val="20"/>
                <w:lang w:val="en-GB"/>
              </w:rPr>
              <w:t>- Lợi nhuận/Lỗ trước thuế</w:t>
            </w:r>
          </w:p>
          <w:p>
            <w:pPr>
              <w:pStyle w:val="TableContents"/>
              <w:widowControl/>
              <w:pBdr/>
              <w:bidi w:val="0"/>
              <w:spacing w:lineRule="atLeast" w:line="225" w:before="120" w:after="120"/>
              <w:ind w:hanging="0" w:start="0" w:end="0"/>
              <w:jc w:val="center"/>
              <w:rPr>
                <w:rFonts w:ascii="Arial;sans-serif" w:hAnsi="Arial;sans-serif"/>
                <w:color w:val="000000"/>
                <w:sz w:val="20"/>
                <w:lang w:val="en-GB"/>
              </w:rPr>
            </w:pPr>
            <w:r>
              <w:rPr>
                <w:rFonts w:ascii="Arial;sans-serif" w:hAnsi="Arial;sans-serif"/>
                <w:color w:val="000000"/>
                <w:sz w:val="20"/>
                <w:lang w:val="en-GB"/>
              </w:rPr>
              <w:t>- Lợi nhuận/Lỗ sau thuế trong năm tài chính</w:t>
            </w:r>
          </w:p>
          <w:p>
            <w:pPr>
              <w:pStyle w:val="TableContents"/>
              <w:widowControl/>
              <w:pBdr/>
              <w:bidi w:val="0"/>
              <w:spacing w:lineRule="atLeast" w:line="225" w:before="120" w:after="120"/>
              <w:ind w:hanging="0" w:start="0" w:end="0"/>
              <w:jc w:val="center"/>
              <w:rPr>
                <w:rFonts w:ascii="Arial;sans-serif" w:hAnsi="Arial;sans-serif"/>
                <w:color w:val="000000"/>
                <w:sz w:val="20"/>
                <w:lang w:val="en-GB"/>
              </w:rPr>
            </w:pPr>
            <w:r>
              <w:rPr>
                <w:rFonts w:ascii="Arial;sans-serif" w:hAnsi="Arial;sans-serif"/>
                <w:color w:val="000000"/>
                <w:sz w:val="20"/>
                <w:lang w:val="en-GB"/>
              </w:rPr>
              <w:t>- Lỗ lũy kế (nếu có)</w:t>
            </w:r>
          </w:p>
          <w:p>
            <w:pPr>
              <w:pStyle w:val="TableContents"/>
              <w:widowControl/>
              <w:pBdr/>
              <w:bidi w:val="0"/>
              <w:spacing w:lineRule="atLeast" w:line="225" w:before="120" w:after="120"/>
              <w:ind w:hanging="0" w:start="0" w:end="0"/>
              <w:jc w:val="center"/>
              <w:rPr>
                <w:rFonts w:ascii="Arial;sans-serif" w:hAnsi="Arial;sans-serif"/>
                <w:b/>
                <w:color w:val="000000"/>
                <w:sz w:val="20"/>
                <w:lang w:val="en-GB"/>
              </w:rPr>
            </w:pPr>
            <w:r>
              <w:rPr>
                <w:rFonts w:ascii="Arial;sans-serif" w:hAnsi="Arial;sans-serif"/>
                <w:b/>
                <w:color w:val="000000"/>
                <w:sz w:val="20"/>
                <w:lang w:val="en-GB"/>
              </w:rPr>
              <w:t>8. Chỉ tiêu về khả năng sinh lời (%):</w:t>
            </w:r>
          </w:p>
          <w:p>
            <w:pPr>
              <w:pStyle w:val="TableContents"/>
              <w:widowControl/>
              <w:pBdr/>
              <w:bidi w:val="0"/>
              <w:spacing w:lineRule="atLeast" w:line="225" w:before="120" w:after="120"/>
              <w:ind w:hanging="0" w:start="0" w:end="0"/>
              <w:jc w:val="center"/>
              <w:rPr>
                <w:rFonts w:ascii="Arial;sans-serif" w:hAnsi="Arial;sans-serif"/>
                <w:color w:val="000000"/>
                <w:sz w:val="20"/>
                <w:lang w:val="en-GB"/>
              </w:rPr>
            </w:pPr>
            <w:r>
              <w:rPr>
                <w:rFonts w:ascii="Arial;sans-serif" w:hAnsi="Arial;sans-serif"/>
                <w:color w:val="000000"/>
                <w:sz w:val="20"/>
                <w:lang w:val="en-GB"/>
              </w:rPr>
              <w:t>- Hệ số lợi nhuận sau thuế/Tổng tài sản</w:t>
            </w:r>
          </w:p>
          <w:p>
            <w:pPr>
              <w:pStyle w:val="TableContents"/>
              <w:widowControl/>
              <w:pBdr/>
              <w:bidi w:val="0"/>
              <w:spacing w:lineRule="atLeast" w:line="225" w:before="120" w:after="120"/>
              <w:ind w:hanging="0" w:start="0" w:end="0"/>
              <w:jc w:val="center"/>
              <w:rPr>
                <w:rFonts w:ascii="Arial;sans-serif" w:hAnsi="Arial;sans-serif"/>
                <w:color w:val="000000"/>
                <w:sz w:val="20"/>
                <w:lang w:val="en-GB"/>
              </w:rPr>
            </w:pPr>
            <w:r>
              <w:rPr>
                <w:rFonts w:ascii="Arial;sans-serif" w:hAnsi="Arial;sans-serif"/>
                <w:color w:val="000000"/>
                <w:sz w:val="20"/>
                <w:lang w:val="en-GB"/>
              </w:rPr>
              <w:t>- Hệ số lợi nhuận sau thuế/Vốn chủ sở hữu</w:t>
            </w:r>
          </w:p>
          <w:p>
            <w:pPr>
              <w:pStyle w:val="TableContents"/>
              <w:widowControl/>
              <w:pBdr/>
              <w:bidi w:val="0"/>
              <w:spacing w:lineRule="atLeast" w:line="225" w:before="120" w:after="120"/>
              <w:ind w:hanging="0" w:start="0" w:end="0"/>
              <w:jc w:val="center"/>
              <w:rPr>
                <w:rFonts w:ascii="Arial;sans-serif" w:hAnsi="Arial;sans-serif"/>
                <w:b/>
                <w:color w:val="000000"/>
                <w:sz w:val="20"/>
                <w:lang w:val="en-GB"/>
              </w:rPr>
            </w:pPr>
            <w:r>
              <w:rPr>
                <w:rFonts w:ascii="Arial;sans-serif" w:hAnsi="Arial;sans-serif"/>
                <w:b/>
                <w:color w:val="000000"/>
                <w:sz w:val="20"/>
                <w:lang w:val="en-GB"/>
              </w:rPr>
              <w:t>9. Các chỉ tiêu an toàn tài chính, tỷ lệ bảo đảm an toàn theo quy định của pháp luật chuyên ngành (nếu có)</w:t>
            </w:r>
          </w:p>
        </w:tc>
        <w:tc>
          <w:tcPr>
            <w:tcW w:w="885" w:type="dxa"/>
            <w:tcBorders>
              <w:bottom w:val="single" w:sz="8" w:space="0" w:color="000000"/>
              <w:end w:val="single" w:sz="8" w:space="0" w:color="000000"/>
            </w:tcBorders>
            <w:tcMar>
              <w:top w:w="0" w:type="dxa"/>
              <w:start w:w="0" w:type="dxa"/>
            </w:tcMar>
          </w:tcPr>
          <w:p>
            <w:pPr>
              <w:pStyle w:val="TableContents"/>
              <w:widowControl/>
              <w:pBdr/>
              <w:bidi w:val="0"/>
              <w:spacing w:lineRule="atLeast" w:line="225" w:before="120" w:after="120"/>
              <w:ind w:hanging="0" w:start="0" w:end="0"/>
              <w:jc w:val="center"/>
              <w:rPr>
                <w:rFonts w:ascii="Arial;sans-serif" w:hAnsi="Arial;sans-serif"/>
                <w:color w:val="000000"/>
                <w:sz w:val="20"/>
                <w:lang w:val="nl-NL"/>
              </w:rPr>
            </w:pPr>
            <w:r>
              <w:rPr>
                <w:rFonts w:ascii="Arial;sans-serif" w:hAnsi="Arial;sans-serif"/>
                <w:color w:val="000000"/>
                <w:sz w:val="20"/>
                <w:lang w:val="nl-NL"/>
              </w:rPr>
              <w:t> </w:t>
            </w:r>
          </w:p>
        </w:tc>
        <w:tc>
          <w:tcPr>
            <w:tcW w:w="786" w:type="dxa"/>
            <w:tcBorders>
              <w:bottom w:val="single" w:sz="8" w:space="0" w:color="000000"/>
              <w:end w:val="single" w:sz="8" w:space="0" w:color="000000"/>
            </w:tcBorders>
            <w:tcMar>
              <w:top w:w="0" w:type="dxa"/>
              <w:start w:w="0" w:type="dxa"/>
            </w:tcMar>
          </w:tcPr>
          <w:p>
            <w:pPr>
              <w:pStyle w:val="TableContents"/>
              <w:widowControl/>
              <w:pBdr/>
              <w:bidi w:val="0"/>
              <w:spacing w:lineRule="atLeast" w:line="225" w:before="120" w:after="120"/>
              <w:ind w:hanging="0" w:start="0" w:end="0"/>
              <w:jc w:val="center"/>
              <w:rPr>
                <w:rFonts w:ascii="Arial;sans-serif" w:hAnsi="Arial;sans-serif"/>
                <w:color w:val="000000"/>
                <w:sz w:val="20"/>
                <w:lang w:val="nl-NL"/>
              </w:rPr>
            </w:pPr>
            <w:r>
              <w:rPr>
                <w:rFonts w:ascii="Arial;sans-serif" w:hAnsi="Arial;sans-serif"/>
                <w:color w:val="000000"/>
                <w:sz w:val="20"/>
                <w:lang w:val="nl-NL"/>
              </w:rPr>
              <w:t> </w:t>
            </w:r>
          </w:p>
        </w:tc>
        <w:tc>
          <w:tcPr>
            <w:tcW w:w="983" w:type="dxa"/>
            <w:tcBorders>
              <w:bottom w:val="single" w:sz="8" w:space="0" w:color="000000"/>
              <w:end w:val="single" w:sz="8" w:space="0" w:color="000000"/>
            </w:tcBorders>
            <w:tcMar>
              <w:top w:w="0" w:type="dxa"/>
              <w:start w:w="0" w:type="dxa"/>
            </w:tcMar>
          </w:tcPr>
          <w:p>
            <w:pPr>
              <w:pStyle w:val="TableContents"/>
              <w:widowControl/>
              <w:pBdr/>
              <w:bidi w:val="0"/>
              <w:spacing w:lineRule="atLeast" w:line="225" w:before="120" w:after="120"/>
              <w:ind w:hanging="0" w:start="0" w:end="0"/>
              <w:jc w:val="center"/>
              <w:rPr>
                <w:rFonts w:ascii="Arial;sans-serif" w:hAnsi="Arial;sans-serif"/>
                <w:color w:val="000000"/>
                <w:sz w:val="20"/>
                <w:lang w:val="nl-NL"/>
              </w:rPr>
            </w:pPr>
            <w:r>
              <w:rPr>
                <w:rFonts w:ascii="Arial;sans-serif" w:hAnsi="Arial;sans-serif"/>
                <w:color w:val="000000"/>
                <w:sz w:val="20"/>
                <w:lang w:val="nl-NL"/>
              </w:rPr>
              <w:t> </w:t>
            </w:r>
          </w:p>
        </w:tc>
      </w:tr>
    </w:tbl>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5.2. Đối với doanh nghiệp phát hành là tổ chức tín dụng</w:t>
      </w:r>
    </w:p>
    <w:tbl>
      <w:tblPr>
        <w:tblW w:w="5000" w:type="pct"/>
        <w:jc w:val="start"/>
        <w:tblInd w:w="-10" w:type="dxa"/>
        <w:tblLayout w:type="fixed"/>
        <w:tblCellMar>
          <w:top w:w="28" w:type="dxa"/>
          <w:start w:w="28" w:type="dxa"/>
          <w:bottom w:w="28" w:type="dxa"/>
          <w:end w:w="28" w:type="dxa"/>
        </w:tblCellMar>
      </w:tblPr>
      <w:tblGrid>
        <w:gridCol w:w="6984"/>
        <w:gridCol w:w="884"/>
        <w:gridCol w:w="885"/>
        <w:gridCol w:w="884"/>
      </w:tblGrid>
      <w:tr>
        <w:trPr>
          <w:tblHeader w:val="true"/>
        </w:trPr>
        <w:tc>
          <w:tcPr>
            <w:tcW w:w="6984" w:type="dxa"/>
            <w:tcBorders>
              <w:top w:val="single" w:sz="8" w:space="0" w:color="000000"/>
              <w:start w:val="single" w:sz="8" w:space="0" w:color="000000"/>
              <w:bottom w:val="single" w:sz="8" w:space="0" w:color="000000"/>
              <w:end w:val="single" w:sz="8" w:space="0" w:color="000000"/>
            </w:tcBorders>
            <w:vAlign w:val="center"/>
          </w:tcPr>
          <w:p>
            <w:pPr>
              <w:pStyle w:val="TableContents"/>
              <w:widowControl/>
              <w:pBdr/>
              <w:bidi w:val="0"/>
              <w:spacing w:lineRule="atLeast" w:line="225" w:before="120" w:after="120"/>
              <w:ind w:hanging="0" w:start="0" w:end="0"/>
              <w:jc w:val="center"/>
              <w:rPr>
                <w:rFonts w:ascii="Arial;sans-serif" w:hAnsi="Arial;sans-serif"/>
                <w:b/>
                <w:color w:val="000000"/>
                <w:sz w:val="20"/>
                <w:lang w:val="en-GB"/>
              </w:rPr>
            </w:pPr>
            <w:r>
              <w:rPr>
                <w:rFonts w:ascii="Arial;sans-serif" w:hAnsi="Arial;sans-serif"/>
                <w:b/>
                <w:color w:val="000000"/>
                <w:sz w:val="20"/>
                <w:lang w:val="en-GB"/>
              </w:rPr>
              <w:t>Chỉ tiêu</w:t>
            </w:r>
          </w:p>
        </w:tc>
        <w:tc>
          <w:tcPr>
            <w:tcW w:w="884" w:type="dxa"/>
            <w:tcBorders>
              <w:top w:val="single" w:sz="8" w:space="0" w:color="000000"/>
              <w:bottom w:val="single" w:sz="8" w:space="0" w:color="000000"/>
              <w:end w:val="single" w:sz="8" w:space="0" w:color="000000"/>
            </w:tcBorders>
            <w:tcMar>
              <w:start w:w="0" w:type="dxa"/>
            </w:tcMar>
            <w:vAlign w:val="center"/>
          </w:tcPr>
          <w:p>
            <w:pPr>
              <w:pStyle w:val="TableContents"/>
              <w:widowControl/>
              <w:pBdr/>
              <w:bidi w:val="0"/>
              <w:spacing w:lineRule="atLeast" w:line="225" w:before="120" w:after="120"/>
              <w:ind w:hanging="0" w:start="0" w:end="0"/>
              <w:jc w:val="center"/>
              <w:rPr>
                <w:rFonts w:ascii="Arial;sans-serif" w:hAnsi="Arial;sans-serif"/>
                <w:b/>
                <w:color w:val="000000"/>
                <w:sz w:val="20"/>
                <w:lang w:val="en-GB"/>
              </w:rPr>
            </w:pPr>
            <w:r>
              <w:rPr>
                <w:rFonts w:ascii="Arial;sans-serif" w:hAnsi="Arial;sans-serif"/>
                <w:b/>
                <w:color w:val="000000"/>
                <w:sz w:val="20"/>
                <w:lang w:val="en-GB"/>
              </w:rPr>
              <w:t>Năm ...</w:t>
            </w:r>
          </w:p>
        </w:tc>
        <w:tc>
          <w:tcPr>
            <w:tcW w:w="885" w:type="dxa"/>
            <w:tcBorders>
              <w:top w:val="single" w:sz="8" w:space="0" w:color="000000"/>
              <w:bottom w:val="single" w:sz="8" w:space="0" w:color="000000"/>
              <w:end w:val="single" w:sz="8" w:space="0" w:color="000000"/>
            </w:tcBorders>
            <w:tcMar>
              <w:start w:w="0" w:type="dxa"/>
            </w:tcMar>
            <w:vAlign w:val="center"/>
          </w:tcPr>
          <w:p>
            <w:pPr>
              <w:pStyle w:val="TableContents"/>
              <w:widowControl/>
              <w:pBdr/>
              <w:bidi w:val="0"/>
              <w:spacing w:lineRule="atLeast" w:line="225" w:before="120" w:after="120"/>
              <w:ind w:hanging="0" w:start="0" w:end="0"/>
              <w:jc w:val="center"/>
              <w:rPr>
                <w:rFonts w:ascii="Arial;sans-serif" w:hAnsi="Arial;sans-serif"/>
                <w:b/>
                <w:color w:val="000000"/>
                <w:sz w:val="20"/>
                <w:lang w:val="en-GB"/>
              </w:rPr>
            </w:pPr>
            <w:r>
              <w:rPr>
                <w:rFonts w:ascii="Arial;sans-serif" w:hAnsi="Arial;sans-serif"/>
                <w:b/>
                <w:color w:val="000000"/>
                <w:sz w:val="20"/>
                <w:lang w:val="en-GB"/>
              </w:rPr>
              <w:t>Năm...</w:t>
            </w:r>
          </w:p>
        </w:tc>
        <w:tc>
          <w:tcPr>
            <w:tcW w:w="884" w:type="dxa"/>
            <w:tcBorders>
              <w:top w:val="single" w:sz="8" w:space="0" w:color="000000"/>
              <w:bottom w:val="single" w:sz="8" w:space="0" w:color="000000"/>
              <w:end w:val="single" w:sz="8" w:space="0" w:color="000000"/>
            </w:tcBorders>
            <w:tcMar>
              <w:start w:w="0" w:type="dxa"/>
            </w:tcMar>
            <w:vAlign w:val="center"/>
          </w:tcPr>
          <w:p>
            <w:pPr>
              <w:pStyle w:val="TableContents"/>
              <w:widowControl/>
              <w:pBdr/>
              <w:bidi w:val="0"/>
              <w:spacing w:lineRule="atLeast" w:line="225" w:before="120" w:after="120"/>
              <w:ind w:hanging="0" w:start="0" w:end="0"/>
              <w:jc w:val="center"/>
              <w:rPr>
                <w:rFonts w:ascii="Arial;sans-serif" w:hAnsi="Arial;sans-serif"/>
                <w:b/>
                <w:color w:val="000000"/>
                <w:sz w:val="20"/>
                <w:lang w:val="en-GB"/>
              </w:rPr>
            </w:pPr>
            <w:r>
              <w:rPr>
                <w:rFonts w:ascii="Arial;sans-serif" w:hAnsi="Arial;sans-serif"/>
                <w:b/>
                <w:color w:val="000000"/>
                <w:sz w:val="20"/>
                <w:lang w:val="en-GB"/>
              </w:rPr>
              <w:t>Năm...</w:t>
            </w:r>
          </w:p>
        </w:tc>
      </w:tr>
      <w:tr>
        <w:trPr/>
        <w:tc>
          <w:tcPr>
            <w:tcW w:w="6984" w:type="dxa"/>
            <w:tcBorders>
              <w:bottom w:val="single" w:sz="8" w:space="0" w:color="000000"/>
              <w:end w:val="single" w:sz="8" w:space="0" w:color="000000"/>
            </w:tcBorders>
            <w:tcMar>
              <w:top w:w="0" w:type="dxa"/>
              <w:start w:w="0" w:type="dxa"/>
            </w:tcMar>
            <w:vAlign w:val="center"/>
          </w:tcPr>
          <w:p>
            <w:pPr>
              <w:pStyle w:val="TableContents"/>
              <w:widowControl/>
              <w:pBdr/>
              <w:bidi w:val="0"/>
              <w:spacing w:lineRule="atLeast" w:line="225" w:before="120" w:after="120"/>
              <w:ind w:hanging="0" w:start="0" w:end="0"/>
              <w:jc w:val="center"/>
              <w:rPr>
                <w:rFonts w:ascii="Arial;sans-serif" w:hAnsi="Arial;sans-serif"/>
                <w:b/>
                <w:color w:val="000000"/>
                <w:sz w:val="20"/>
                <w:lang w:val="en-GB"/>
              </w:rPr>
            </w:pPr>
            <w:r>
              <w:rPr>
                <w:rFonts w:ascii="Arial;sans-serif" w:hAnsi="Arial;sans-serif"/>
                <w:b/>
                <w:color w:val="000000"/>
                <w:sz w:val="20"/>
                <w:lang w:val="en-GB"/>
              </w:rPr>
              <w:t>1. Chỉ tiêu về vốn</w:t>
            </w:r>
          </w:p>
          <w:p>
            <w:pPr>
              <w:pStyle w:val="TableContents"/>
              <w:widowControl/>
              <w:pBdr/>
              <w:bidi w:val="0"/>
              <w:spacing w:lineRule="atLeast" w:line="225" w:before="120" w:after="120"/>
              <w:ind w:hanging="0" w:start="0" w:end="0"/>
              <w:jc w:val="center"/>
              <w:rPr>
                <w:rFonts w:ascii="Arial;sans-serif" w:hAnsi="Arial;sans-serif"/>
                <w:color w:val="000000"/>
                <w:sz w:val="20"/>
                <w:lang w:val="en-GB"/>
              </w:rPr>
            </w:pPr>
            <w:r>
              <w:rPr>
                <w:rFonts w:ascii="Arial;sans-serif" w:hAnsi="Arial;sans-serif"/>
                <w:color w:val="000000"/>
                <w:sz w:val="20"/>
                <w:lang w:val="en-GB"/>
              </w:rPr>
              <w:t>- Vốn điều lệ</w:t>
            </w:r>
          </w:p>
          <w:p>
            <w:pPr>
              <w:pStyle w:val="TableContents"/>
              <w:widowControl/>
              <w:pBdr/>
              <w:bidi w:val="0"/>
              <w:spacing w:lineRule="atLeast" w:line="225" w:before="120" w:after="120"/>
              <w:ind w:hanging="0" w:start="0" w:end="0"/>
              <w:jc w:val="center"/>
              <w:rPr>
                <w:rFonts w:ascii="Arial;sans-serif" w:hAnsi="Arial;sans-serif"/>
                <w:color w:val="000000"/>
                <w:sz w:val="20"/>
                <w:lang w:val="en-GB"/>
              </w:rPr>
            </w:pPr>
            <w:r>
              <w:rPr>
                <w:rFonts w:ascii="Arial;sans-serif" w:hAnsi="Arial;sans-serif"/>
                <w:color w:val="000000"/>
                <w:sz w:val="20"/>
                <w:lang w:val="en-GB"/>
              </w:rPr>
              <w:t>- Vốn tự có</w:t>
            </w:r>
          </w:p>
          <w:p>
            <w:pPr>
              <w:pStyle w:val="TableContents"/>
              <w:widowControl/>
              <w:pBdr/>
              <w:bidi w:val="0"/>
              <w:spacing w:lineRule="atLeast" w:line="225" w:before="120" w:after="120"/>
              <w:ind w:hanging="0" w:start="0" w:end="0"/>
              <w:jc w:val="center"/>
              <w:rPr>
                <w:rFonts w:ascii="Arial;sans-serif" w:hAnsi="Arial;sans-serif"/>
                <w:color w:val="000000"/>
                <w:sz w:val="20"/>
                <w:lang w:val="en-GB"/>
              </w:rPr>
            </w:pPr>
            <w:r>
              <w:rPr>
                <w:rFonts w:ascii="Arial;sans-serif" w:hAnsi="Arial;sans-serif"/>
                <w:color w:val="000000"/>
                <w:sz w:val="20"/>
                <w:lang w:val="en-GB"/>
              </w:rPr>
              <w:t>- Tỷ lệ an toàn vốn</w:t>
            </w:r>
          </w:p>
          <w:p>
            <w:pPr>
              <w:pStyle w:val="TableContents"/>
              <w:widowControl/>
              <w:pBdr/>
              <w:bidi w:val="0"/>
              <w:spacing w:lineRule="atLeast" w:line="225" w:before="120" w:after="120"/>
              <w:ind w:hanging="0" w:start="0" w:end="0"/>
              <w:jc w:val="center"/>
              <w:rPr>
                <w:rFonts w:ascii="Arial;sans-serif" w:hAnsi="Arial;sans-serif"/>
                <w:b/>
                <w:color w:val="000000"/>
                <w:sz w:val="20"/>
                <w:lang w:val="en-GB"/>
              </w:rPr>
            </w:pPr>
            <w:r>
              <w:rPr>
                <w:rFonts w:ascii="Arial;sans-serif" w:hAnsi="Arial;sans-serif"/>
                <w:b/>
                <w:color w:val="000000"/>
                <w:sz w:val="20"/>
                <w:lang w:val="en-GB"/>
              </w:rPr>
              <w:t>2. Chất lượng tài sản</w:t>
            </w:r>
          </w:p>
          <w:p>
            <w:pPr>
              <w:pStyle w:val="TableContents"/>
              <w:widowControl/>
              <w:pBdr/>
              <w:bidi w:val="0"/>
              <w:spacing w:lineRule="atLeast" w:line="225" w:before="120" w:after="120"/>
              <w:ind w:hanging="0" w:start="0" w:end="0"/>
              <w:jc w:val="center"/>
              <w:rPr>
                <w:rFonts w:ascii="Arial;sans-serif" w:hAnsi="Arial;sans-serif"/>
                <w:color w:val="000000"/>
                <w:sz w:val="20"/>
                <w:lang w:val="en-GB"/>
              </w:rPr>
            </w:pPr>
            <w:r>
              <w:rPr>
                <w:rFonts w:ascii="Arial;sans-serif" w:hAnsi="Arial;sans-serif"/>
                <w:color w:val="000000"/>
                <w:sz w:val="20"/>
                <w:lang w:val="en-GB"/>
              </w:rPr>
              <w:t>- Tỷ lệ nợ quá hạn</w:t>
            </w:r>
          </w:p>
          <w:p>
            <w:pPr>
              <w:pStyle w:val="TableContents"/>
              <w:widowControl/>
              <w:pBdr/>
              <w:bidi w:val="0"/>
              <w:spacing w:lineRule="atLeast" w:line="225" w:before="120" w:after="120"/>
              <w:ind w:hanging="0" w:start="0" w:end="0"/>
              <w:jc w:val="center"/>
              <w:rPr>
                <w:rFonts w:ascii="Arial;sans-serif" w:hAnsi="Arial;sans-serif"/>
                <w:color w:val="000000"/>
                <w:sz w:val="20"/>
                <w:lang w:val="en-GB"/>
              </w:rPr>
            </w:pPr>
            <w:r>
              <w:rPr>
                <w:rFonts w:ascii="Arial;sans-serif" w:hAnsi="Arial;sans-serif"/>
                <w:color w:val="000000"/>
                <w:sz w:val="20"/>
                <w:lang w:val="en-GB"/>
              </w:rPr>
              <w:t>- Tỷ lệ nợ xấu</w:t>
            </w:r>
          </w:p>
          <w:p>
            <w:pPr>
              <w:pStyle w:val="TableContents"/>
              <w:widowControl/>
              <w:pBdr/>
              <w:bidi w:val="0"/>
              <w:spacing w:lineRule="atLeast" w:line="225" w:before="120" w:after="120"/>
              <w:ind w:hanging="0" w:start="0" w:end="0"/>
              <w:jc w:val="center"/>
              <w:rPr>
                <w:rFonts w:ascii="Arial;sans-serif" w:hAnsi="Arial;sans-serif"/>
                <w:color w:val="000000"/>
                <w:sz w:val="20"/>
                <w:lang w:val="en-GB"/>
              </w:rPr>
            </w:pPr>
            <w:r>
              <w:rPr>
                <w:rFonts w:ascii="Arial;sans-serif" w:hAnsi="Arial;sans-serif"/>
                <w:color w:val="000000"/>
                <w:sz w:val="20"/>
                <w:lang w:val="en-GB"/>
              </w:rPr>
              <w:t>- (Số dư các khoản cho vay và ứng trước khách hàng + các khoản cho vay các tổ chức tín dụng khác)/Tổng tài sản</w:t>
            </w:r>
          </w:p>
          <w:p>
            <w:pPr>
              <w:pStyle w:val="TableContents"/>
              <w:widowControl/>
              <w:pBdr/>
              <w:bidi w:val="0"/>
              <w:spacing w:lineRule="atLeast" w:line="225" w:before="120" w:after="120"/>
              <w:ind w:hanging="0" w:start="0" w:end="0"/>
              <w:jc w:val="center"/>
              <w:rPr>
                <w:rFonts w:ascii="Arial;sans-serif" w:hAnsi="Arial;sans-serif"/>
                <w:color w:val="000000"/>
                <w:sz w:val="20"/>
                <w:lang w:val="en-GB"/>
              </w:rPr>
            </w:pPr>
            <w:r>
              <w:rPr>
                <w:rFonts w:ascii="Arial;sans-serif" w:hAnsi="Arial;sans-serif"/>
                <w:color w:val="000000"/>
                <w:sz w:val="20"/>
                <w:lang w:val="en-GB"/>
              </w:rPr>
              <w:t>- Tài sản có sinh lời/Tổng tài sản có nội bảng</w:t>
            </w:r>
          </w:p>
          <w:p>
            <w:pPr>
              <w:pStyle w:val="TableContents"/>
              <w:widowControl/>
              <w:pBdr/>
              <w:bidi w:val="0"/>
              <w:spacing w:lineRule="atLeast" w:line="225" w:before="120" w:after="120"/>
              <w:ind w:hanging="0" w:start="0" w:end="0"/>
              <w:jc w:val="center"/>
              <w:rPr>
                <w:rFonts w:ascii="Arial;sans-serif" w:hAnsi="Arial;sans-serif"/>
                <w:b/>
                <w:color w:val="000000"/>
                <w:sz w:val="20"/>
                <w:lang w:val="en-GB"/>
              </w:rPr>
            </w:pPr>
            <w:r>
              <w:rPr>
                <w:rFonts w:ascii="Arial;sans-serif" w:hAnsi="Arial;sans-serif"/>
                <w:b/>
                <w:color w:val="000000"/>
                <w:sz w:val="20"/>
                <w:lang w:val="en-GB"/>
              </w:rPr>
              <w:t>3. Khả năng thanh khoản</w:t>
            </w:r>
          </w:p>
          <w:p>
            <w:pPr>
              <w:pStyle w:val="TableContents"/>
              <w:widowControl/>
              <w:pBdr/>
              <w:bidi w:val="0"/>
              <w:spacing w:lineRule="atLeast" w:line="225" w:before="120" w:after="120"/>
              <w:ind w:hanging="0" w:start="0" w:end="0"/>
              <w:jc w:val="center"/>
              <w:rPr>
                <w:rFonts w:ascii="Arial;sans-serif" w:hAnsi="Arial;sans-serif"/>
                <w:color w:val="000000"/>
                <w:sz w:val="20"/>
                <w:lang w:val="en-GB"/>
              </w:rPr>
            </w:pPr>
            <w:r>
              <w:rPr>
                <w:rFonts w:ascii="Arial;sans-serif" w:hAnsi="Arial;sans-serif"/>
                <w:color w:val="000000"/>
                <w:sz w:val="20"/>
                <w:lang w:val="en-GB"/>
              </w:rPr>
              <w:t>- Tỷ lệ tài sản có tính thanh khoản cao bình quân/Tổng tài sản bình quân</w:t>
            </w:r>
          </w:p>
          <w:p>
            <w:pPr>
              <w:pStyle w:val="TableContents"/>
              <w:widowControl/>
              <w:pBdr/>
              <w:bidi w:val="0"/>
              <w:spacing w:lineRule="atLeast" w:line="225" w:before="120" w:after="120"/>
              <w:ind w:hanging="0" w:start="0" w:end="0"/>
              <w:jc w:val="center"/>
              <w:rPr>
                <w:rFonts w:ascii="Arial;sans-serif" w:hAnsi="Arial;sans-serif"/>
                <w:color w:val="000000"/>
                <w:sz w:val="20"/>
                <w:lang w:val="en-GB"/>
              </w:rPr>
            </w:pPr>
            <w:r>
              <w:rPr>
                <w:rFonts w:ascii="Arial;sans-serif" w:hAnsi="Arial;sans-serif"/>
                <w:color w:val="000000"/>
                <w:sz w:val="20"/>
                <w:lang w:val="en-GB"/>
              </w:rPr>
              <w:t>- Tỷ lệ nguồn vốn ngắn hạn được sử dụng cho vay trung và dài hạn</w:t>
            </w:r>
          </w:p>
          <w:p>
            <w:pPr>
              <w:pStyle w:val="TableContents"/>
              <w:widowControl/>
              <w:pBdr/>
              <w:bidi w:val="0"/>
              <w:spacing w:lineRule="atLeast" w:line="225" w:before="120" w:after="120"/>
              <w:ind w:hanging="0" w:start="0" w:end="0"/>
              <w:jc w:val="center"/>
              <w:rPr>
                <w:rFonts w:ascii="Arial;sans-serif" w:hAnsi="Arial;sans-serif"/>
                <w:color w:val="000000"/>
                <w:sz w:val="20"/>
                <w:lang w:val="en-GB"/>
              </w:rPr>
            </w:pPr>
            <w:r>
              <w:rPr>
                <w:rFonts w:ascii="Arial;sans-serif" w:hAnsi="Arial;sans-serif"/>
                <w:color w:val="000000"/>
                <w:sz w:val="20"/>
                <w:lang w:val="en-GB"/>
              </w:rPr>
              <w:t>- Tỷ lệ dư nợ cho vay/Tổng tiền gửi</w:t>
            </w:r>
          </w:p>
          <w:p>
            <w:pPr>
              <w:pStyle w:val="TableContents"/>
              <w:widowControl/>
              <w:pBdr/>
              <w:bidi w:val="0"/>
              <w:spacing w:lineRule="atLeast" w:line="225" w:before="120" w:after="120"/>
              <w:ind w:hanging="0" w:start="0" w:end="0"/>
              <w:jc w:val="center"/>
              <w:rPr>
                <w:rFonts w:ascii="Arial;sans-serif" w:hAnsi="Arial;sans-serif"/>
                <w:b/>
                <w:color w:val="000000"/>
                <w:sz w:val="20"/>
                <w:lang w:val="en-GB"/>
              </w:rPr>
            </w:pPr>
            <w:r>
              <w:rPr>
                <w:rFonts w:ascii="Arial;sans-serif" w:hAnsi="Arial;sans-serif"/>
                <w:b/>
                <w:color w:val="000000"/>
                <w:sz w:val="20"/>
                <w:lang w:val="en-GB"/>
              </w:rPr>
              <w:t>4. Kết quả hoạt động kinh doanh</w:t>
            </w:r>
          </w:p>
          <w:p>
            <w:pPr>
              <w:pStyle w:val="TableContents"/>
              <w:widowControl/>
              <w:pBdr/>
              <w:bidi w:val="0"/>
              <w:spacing w:lineRule="atLeast" w:line="225" w:before="120" w:after="120"/>
              <w:ind w:hanging="0" w:start="0" w:end="0"/>
              <w:jc w:val="center"/>
              <w:rPr>
                <w:rFonts w:ascii="Arial;sans-serif" w:hAnsi="Arial;sans-serif"/>
                <w:color w:val="000000"/>
                <w:sz w:val="20"/>
                <w:lang w:val="en-GB"/>
              </w:rPr>
            </w:pPr>
            <w:r>
              <w:rPr>
                <w:rFonts w:ascii="Arial;sans-serif" w:hAnsi="Arial;sans-serif"/>
                <w:color w:val="000000"/>
                <w:sz w:val="20"/>
                <w:lang w:val="en-GB"/>
              </w:rPr>
              <w:t>- Tỷ lệ Lợi nhuận trước thuế/vốn chủ sở hữu bình quân</w:t>
            </w:r>
          </w:p>
          <w:p>
            <w:pPr>
              <w:pStyle w:val="TableContents"/>
              <w:widowControl/>
              <w:pBdr/>
              <w:bidi w:val="0"/>
              <w:spacing w:lineRule="atLeast" w:line="225" w:before="120" w:after="120"/>
              <w:ind w:hanging="0" w:start="0" w:end="0"/>
              <w:jc w:val="center"/>
              <w:rPr>
                <w:rFonts w:ascii="Arial;sans-serif" w:hAnsi="Arial;sans-serif"/>
                <w:color w:val="000000"/>
                <w:sz w:val="20"/>
                <w:lang w:val="en-GB"/>
              </w:rPr>
            </w:pPr>
            <w:r>
              <w:rPr>
                <w:rFonts w:ascii="Arial;sans-serif" w:hAnsi="Arial;sans-serif"/>
                <w:color w:val="000000"/>
                <w:sz w:val="20"/>
                <w:lang w:val="en-GB"/>
              </w:rPr>
              <w:t>- Tỷ lệ Lợi nhuận trước thuế/Tổng tài sản bình quân</w:t>
            </w:r>
          </w:p>
          <w:p>
            <w:pPr>
              <w:pStyle w:val="TableContents"/>
              <w:widowControl/>
              <w:pBdr/>
              <w:bidi w:val="0"/>
              <w:spacing w:lineRule="atLeast" w:line="225" w:before="120" w:after="120"/>
              <w:ind w:hanging="0" w:start="0" w:end="0"/>
              <w:jc w:val="center"/>
              <w:rPr>
                <w:rFonts w:ascii="Arial;sans-serif" w:hAnsi="Arial;sans-serif"/>
                <w:color w:val="000000"/>
                <w:sz w:val="20"/>
                <w:lang w:val="en-GB"/>
              </w:rPr>
            </w:pPr>
            <w:r>
              <w:rPr>
                <w:rFonts w:ascii="Arial;sans-serif" w:hAnsi="Arial;sans-serif"/>
                <w:color w:val="000000"/>
                <w:sz w:val="20"/>
                <w:lang w:val="en-GB"/>
              </w:rPr>
              <w:t>- Thu nhập lãi cận biên (NIM)</w:t>
            </w:r>
          </w:p>
          <w:p>
            <w:pPr>
              <w:pStyle w:val="TableContents"/>
              <w:widowControl/>
              <w:pBdr/>
              <w:bidi w:val="0"/>
              <w:spacing w:lineRule="atLeast" w:line="225" w:before="120" w:after="120"/>
              <w:ind w:hanging="0" w:start="0" w:end="0"/>
              <w:jc w:val="center"/>
              <w:rPr>
                <w:rFonts w:ascii="Arial;sans-serif" w:hAnsi="Arial;sans-serif"/>
                <w:color w:val="000000"/>
                <w:sz w:val="20"/>
                <w:lang w:val="en-GB"/>
              </w:rPr>
            </w:pPr>
            <w:r>
              <w:rPr>
                <w:rFonts w:ascii="Arial;sans-serif" w:hAnsi="Arial;sans-serif"/>
                <w:color w:val="000000"/>
                <w:sz w:val="20"/>
                <w:lang w:val="en-GB"/>
              </w:rPr>
              <w:t>- Hệ số lợi nhuận sau thuế trên vốn kinh doanh (ROA):</w:t>
            </w:r>
          </w:p>
          <w:p>
            <w:pPr>
              <w:pStyle w:val="TableContents"/>
              <w:widowControl/>
              <w:pBdr/>
              <w:bidi w:val="0"/>
              <w:spacing w:lineRule="atLeast" w:line="225" w:before="120" w:after="120"/>
              <w:ind w:hanging="0" w:start="0" w:end="0"/>
              <w:jc w:val="center"/>
              <w:rPr>
                <w:rFonts w:ascii="Arial;sans-serif" w:hAnsi="Arial;sans-serif"/>
                <w:color w:val="000000"/>
                <w:sz w:val="20"/>
                <w:lang w:val="en-GB"/>
              </w:rPr>
            </w:pPr>
            <w:r>
              <w:rPr>
                <w:rFonts w:ascii="Arial;sans-serif" w:hAnsi="Arial;sans-serif"/>
                <w:color w:val="000000"/>
                <w:sz w:val="20"/>
                <w:lang w:val="en-GB"/>
              </w:rPr>
              <w:t>- Lợi nhuận sau thuế/Tổng tài sản bình quân</w:t>
            </w:r>
          </w:p>
          <w:p>
            <w:pPr>
              <w:pStyle w:val="TableContents"/>
              <w:widowControl/>
              <w:pBdr/>
              <w:bidi w:val="0"/>
              <w:spacing w:lineRule="atLeast" w:line="225" w:before="120" w:after="120"/>
              <w:ind w:hanging="0" w:start="0" w:end="0"/>
              <w:jc w:val="center"/>
              <w:rPr>
                <w:rFonts w:ascii="Arial;sans-serif" w:hAnsi="Arial;sans-serif"/>
                <w:color w:val="000000"/>
                <w:sz w:val="20"/>
                <w:lang w:val="en-GB"/>
              </w:rPr>
            </w:pPr>
            <w:r>
              <w:rPr>
                <w:rFonts w:ascii="Arial;sans-serif" w:hAnsi="Arial;sans-serif"/>
                <w:color w:val="000000"/>
                <w:sz w:val="20"/>
                <w:lang w:val="en-GB"/>
              </w:rPr>
              <w:t>- Hệ số lợi nhuận sau thuế trên vốn chủ sở hữu (ROE):</w:t>
            </w:r>
          </w:p>
          <w:p>
            <w:pPr>
              <w:pStyle w:val="TableContents"/>
              <w:widowControl/>
              <w:pBdr/>
              <w:bidi w:val="0"/>
              <w:spacing w:lineRule="atLeast" w:line="225" w:before="120" w:after="120"/>
              <w:ind w:hanging="0" w:start="0" w:end="0"/>
              <w:jc w:val="center"/>
              <w:rPr>
                <w:rFonts w:ascii="Arial;sans-serif" w:hAnsi="Arial;sans-serif"/>
                <w:color w:val="000000"/>
                <w:sz w:val="20"/>
                <w:lang w:val="en-GB"/>
              </w:rPr>
            </w:pPr>
            <w:r>
              <w:rPr>
                <w:rFonts w:ascii="Arial;sans-serif" w:hAnsi="Arial;sans-serif"/>
                <w:color w:val="000000"/>
                <w:sz w:val="20"/>
                <w:lang w:val="en-GB"/>
              </w:rPr>
              <w:t>- Lợi nhuận sau thuế/vốn chủ sở hữu bình quân</w:t>
            </w:r>
          </w:p>
          <w:p>
            <w:pPr>
              <w:pStyle w:val="TableContents"/>
              <w:widowControl/>
              <w:pBdr/>
              <w:bidi w:val="0"/>
              <w:spacing w:lineRule="atLeast" w:line="225" w:before="120" w:after="120"/>
              <w:ind w:hanging="0" w:start="0" w:end="0"/>
              <w:jc w:val="center"/>
              <w:rPr>
                <w:rFonts w:ascii="Arial;sans-serif" w:hAnsi="Arial;sans-serif"/>
                <w:color w:val="000000"/>
                <w:sz w:val="20"/>
                <w:lang w:val="en-GB"/>
              </w:rPr>
            </w:pPr>
            <w:r>
              <w:rPr>
                <w:rFonts w:ascii="Arial;sans-serif" w:hAnsi="Arial;sans-serif"/>
                <w:color w:val="000000"/>
                <w:sz w:val="20"/>
                <w:lang w:val="en-GB"/>
              </w:rPr>
              <w:t>- Thu nhập trên cổ phần (EPS)</w:t>
            </w:r>
          </w:p>
          <w:p>
            <w:pPr>
              <w:pStyle w:val="TableContents"/>
              <w:widowControl/>
              <w:pBdr/>
              <w:bidi w:val="0"/>
              <w:spacing w:lineRule="atLeast" w:line="225" w:before="120" w:after="120"/>
              <w:ind w:hanging="0" w:start="0" w:end="0"/>
              <w:jc w:val="center"/>
              <w:rPr>
                <w:rFonts w:ascii="Arial;sans-serif" w:hAnsi="Arial;sans-serif"/>
                <w:color w:val="000000"/>
                <w:sz w:val="20"/>
                <w:lang w:val="en-GB"/>
              </w:rPr>
            </w:pPr>
            <w:r>
              <w:rPr>
                <w:rFonts w:ascii="Arial;sans-serif" w:hAnsi="Arial;sans-serif"/>
                <w:color w:val="000000"/>
                <w:sz w:val="20"/>
                <w:lang w:val="en-GB"/>
              </w:rPr>
              <w:t>- Thu nhập dịch vụ/Tổng thu nhập</w:t>
            </w:r>
          </w:p>
          <w:p>
            <w:pPr>
              <w:pStyle w:val="TableContents"/>
              <w:widowControl/>
              <w:pBdr/>
              <w:bidi w:val="0"/>
              <w:spacing w:lineRule="atLeast" w:line="225" w:before="120" w:after="120"/>
              <w:ind w:hanging="0" w:start="0" w:end="0"/>
              <w:jc w:val="center"/>
              <w:rPr>
                <w:rFonts w:ascii="Arial;sans-serif" w:hAnsi="Arial;sans-serif"/>
                <w:color w:val="000000"/>
                <w:sz w:val="20"/>
                <w:lang w:val="en-GB"/>
              </w:rPr>
            </w:pPr>
            <w:r>
              <w:rPr>
                <w:rFonts w:ascii="Arial;sans-serif" w:hAnsi="Arial;sans-serif"/>
                <w:color w:val="000000"/>
                <w:sz w:val="20"/>
                <w:lang w:val="en-GB"/>
              </w:rPr>
              <w:t>- Thu nhập ròng từ hoạt động dịch vụ/Lợi nhuận trước thuế</w:t>
            </w:r>
          </w:p>
        </w:tc>
        <w:tc>
          <w:tcPr>
            <w:tcW w:w="884" w:type="dxa"/>
            <w:tcBorders>
              <w:bottom w:val="single" w:sz="8" w:space="0" w:color="000000"/>
              <w:end w:val="single" w:sz="8" w:space="0" w:color="000000"/>
            </w:tcBorders>
            <w:tcMar>
              <w:top w:w="0" w:type="dxa"/>
              <w:start w:w="0" w:type="dxa"/>
            </w:tcMar>
          </w:tcPr>
          <w:p>
            <w:pPr>
              <w:pStyle w:val="TableContents"/>
              <w:widowControl/>
              <w:pBdr/>
              <w:bidi w:val="0"/>
              <w:spacing w:lineRule="atLeast" w:line="225" w:before="120" w:after="120"/>
              <w:ind w:hanging="0" w:start="0" w:end="0"/>
              <w:jc w:val="center"/>
              <w:rPr>
                <w:rFonts w:ascii="Arial;sans-serif" w:hAnsi="Arial;sans-serif"/>
                <w:color w:val="000000"/>
                <w:sz w:val="20"/>
                <w:lang w:val="nl-NL"/>
              </w:rPr>
            </w:pPr>
            <w:r>
              <w:rPr>
                <w:rFonts w:ascii="Arial;sans-serif" w:hAnsi="Arial;sans-serif"/>
                <w:color w:val="000000"/>
                <w:sz w:val="20"/>
                <w:lang w:val="nl-NL"/>
              </w:rPr>
              <w:t> </w:t>
            </w:r>
          </w:p>
        </w:tc>
        <w:tc>
          <w:tcPr>
            <w:tcW w:w="885" w:type="dxa"/>
            <w:tcBorders>
              <w:bottom w:val="single" w:sz="8" w:space="0" w:color="000000"/>
              <w:end w:val="single" w:sz="8" w:space="0" w:color="000000"/>
            </w:tcBorders>
            <w:tcMar>
              <w:top w:w="0" w:type="dxa"/>
              <w:start w:w="0" w:type="dxa"/>
            </w:tcMar>
          </w:tcPr>
          <w:p>
            <w:pPr>
              <w:pStyle w:val="TableContents"/>
              <w:widowControl/>
              <w:pBdr/>
              <w:bidi w:val="0"/>
              <w:spacing w:lineRule="atLeast" w:line="225" w:before="120" w:after="120"/>
              <w:ind w:hanging="0" w:start="0" w:end="0"/>
              <w:jc w:val="center"/>
              <w:rPr>
                <w:rFonts w:ascii="Arial;sans-serif" w:hAnsi="Arial;sans-serif"/>
                <w:color w:val="000000"/>
                <w:sz w:val="20"/>
                <w:lang w:val="nl-NL"/>
              </w:rPr>
            </w:pPr>
            <w:r>
              <w:rPr>
                <w:rFonts w:ascii="Arial;sans-serif" w:hAnsi="Arial;sans-serif"/>
                <w:color w:val="000000"/>
                <w:sz w:val="20"/>
                <w:lang w:val="nl-NL"/>
              </w:rPr>
              <w:t> </w:t>
            </w:r>
          </w:p>
        </w:tc>
        <w:tc>
          <w:tcPr>
            <w:tcW w:w="884" w:type="dxa"/>
            <w:tcBorders>
              <w:bottom w:val="single" w:sz="8" w:space="0" w:color="000000"/>
              <w:end w:val="single" w:sz="8" w:space="0" w:color="000000"/>
            </w:tcBorders>
            <w:tcMar>
              <w:top w:w="0" w:type="dxa"/>
              <w:start w:w="0" w:type="dxa"/>
            </w:tcMar>
          </w:tcPr>
          <w:p>
            <w:pPr>
              <w:pStyle w:val="TableContents"/>
              <w:widowControl/>
              <w:pBdr/>
              <w:bidi w:val="0"/>
              <w:spacing w:lineRule="atLeast" w:line="225" w:before="120" w:after="120"/>
              <w:ind w:hanging="0" w:start="0" w:end="0"/>
              <w:jc w:val="center"/>
              <w:rPr>
                <w:rFonts w:ascii="Arial;sans-serif" w:hAnsi="Arial;sans-serif"/>
                <w:color w:val="000000"/>
                <w:sz w:val="20"/>
                <w:lang w:val="nl-NL"/>
              </w:rPr>
            </w:pPr>
            <w:r>
              <w:rPr>
                <w:rFonts w:ascii="Arial;sans-serif" w:hAnsi="Arial;sans-serif"/>
                <w:color w:val="000000"/>
                <w:sz w:val="20"/>
                <w:lang w:val="nl-NL"/>
              </w:rPr>
              <w:t> </w:t>
            </w:r>
          </w:p>
        </w:tc>
      </w:tr>
    </w:tbl>
    <w:p>
      <w:pPr>
        <w:pStyle w:val="BodyText"/>
        <w:widowControl/>
        <w:pBdr/>
        <w:bidi w:val="0"/>
        <w:spacing w:lineRule="atLeast" w:line="225" w:before="120" w:after="120"/>
        <w:ind w:hanging="0" w:start="0" w:end="0"/>
        <w:jc w:val="start"/>
        <w:rPr>
          <w:rFonts w:ascii="Arial;sans-serif" w:hAnsi="Arial;sans-serif"/>
          <w:b w:val="false"/>
          <w:i/>
          <w:caps w:val="false"/>
          <w:smallCaps w:val="false"/>
          <w:color w:val="000000"/>
          <w:spacing w:val="0"/>
          <w:sz w:val="20"/>
          <w:lang w:val="en-GB"/>
        </w:rPr>
      </w:pPr>
      <w:r>
        <w:rPr>
          <w:rFonts w:ascii="Arial;sans-serif" w:hAnsi="Arial;sans-serif"/>
          <w:b w:val="false"/>
          <w:i/>
          <w:caps w:val="false"/>
          <w:smallCaps w:val="false"/>
          <w:color w:val="000000"/>
          <w:spacing w:val="0"/>
          <w:sz w:val="20"/>
          <w:lang w:val="en-GB"/>
        </w:rPr>
        <w:t>(Tổ chức tín dụng xác định các chỉ tiêu nêu trên áp dụng theo các quy định, hướng dẫn của Ngân hàng Nhà nước Việt Nam)</w:t>
      </w:r>
    </w:p>
    <w:p>
      <w:pPr>
        <w:pStyle w:val="BodyText"/>
        <w:widowControl/>
        <w:pBdr/>
        <w:bidi w:val="0"/>
        <w:spacing w:lineRule="atLeast" w:line="225" w:before="120" w:after="120"/>
        <w:ind w:hanging="0" w:start="0" w:end="0"/>
        <w:jc w:val="start"/>
        <w:rPr>
          <w:rFonts w:ascii="Arial;sans-serif" w:hAnsi="Arial;sans-serif"/>
          <w:b w:val="false"/>
          <w:i/>
          <w:caps w:val="false"/>
          <w:smallCaps w:val="false"/>
          <w:color w:val="000000"/>
          <w:spacing w:val="0"/>
          <w:sz w:val="20"/>
          <w:lang w:val="en-GB"/>
        </w:rPr>
      </w:pPr>
      <w:r>
        <w:rPr>
          <w:rFonts w:ascii="Arial;sans-serif" w:hAnsi="Arial;sans-serif"/>
          <w:b w:val="false"/>
          <w:i/>
          <w:caps w:val="false"/>
          <w:smallCaps w:val="false"/>
          <w:color w:val="000000"/>
          <w:spacing w:val="0"/>
          <w:sz w:val="20"/>
          <w:lang w:val="en-GB"/>
        </w:rPr>
        <w:t>Ghi chú:</w:t>
      </w:r>
    </w:p>
    <w:p>
      <w:pPr>
        <w:pStyle w:val="BodyText"/>
        <w:widowControl/>
        <w:pBdr/>
        <w:bidi w:val="0"/>
        <w:spacing w:lineRule="atLeast" w:line="225" w:before="120" w:after="120"/>
        <w:ind w:hanging="0" w:start="0" w:end="0"/>
        <w:jc w:val="start"/>
        <w:rPr>
          <w:rFonts w:ascii="Arial;sans-serif" w:hAnsi="Arial;sans-serif"/>
          <w:b w:val="false"/>
          <w:i/>
          <w:caps w:val="false"/>
          <w:smallCaps w:val="false"/>
          <w:color w:val="000000"/>
          <w:spacing w:val="0"/>
          <w:sz w:val="20"/>
          <w:lang w:val="en-GB"/>
        </w:rPr>
      </w:pPr>
      <w:r>
        <w:rPr>
          <w:rFonts w:ascii="Arial;sans-serif" w:hAnsi="Arial;sans-serif"/>
          <w:b w:val="false"/>
          <w:i/>
          <w:caps w:val="false"/>
          <w:smallCaps w:val="false"/>
          <w:color w:val="000000"/>
          <w:spacing w:val="0"/>
          <w:sz w:val="20"/>
          <w:lang w:val="en-GB"/>
        </w:rPr>
        <w:t>* Số liệu về tình hình tài chính được tính toán từ báo cáo tài chính năm đã được kiểm toán bởi tổ chức kiểm toán đủ điều kiện.</w:t>
      </w:r>
    </w:p>
    <w:p>
      <w:pPr>
        <w:pStyle w:val="BodyText"/>
        <w:widowControl/>
        <w:pBdr/>
        <w:bidi w:val="0"/>
        <w:spacing w:lineRule="atLeast" w:line="225" w:before="120" w:after="120"/>
        <w:ind w:hanging="0" w:start="0" w:end="0"/>
        <w:jc w:val="start"/>
        <w:rPr>
          <w:rFonts w:ascii="Arial;sans-serif" w:hAnsi="Arial;sans-serif"/>
          <w:b w:val="false"/>
          <w:i/>
          <w:caps w:val="false"/>
          <w:smallCaps w:val="false"/>
          <w:color w:val="000000"/>
          <w:spacing w:val="0"/>
          <w:sz w:val="20"/>
          <w:lang w:val="en-GB"/>
        </w:rPr>
      </w:pPr>
      <w:r>
        <w:rPr>
          <w:rFonts w:ascii="Arial;sans-serif" w:hAnsi="Arial;sans-serif"/>
          <w:b w:val="false"/>
          <w:i/>
          <w:caps w:val="false"/>
          <w:smallCaps w:val="false"/>
          <w:color w:val="000000"/>
          <w:spacing w:val="0"/>
          <w:sz w:val="20"/>
          <w:lang w:val="en-GB"/>
        </w:rPr>
        <w:t>** Nợ phải trả khác = Tổng số nợ phải trả - Nợ vay Ngân hàng - Nợ vay từ phát hành trái phiếu.</w:t>
      </w:r>
    </w:p>
    <w:p>
      <w:pPr>
        <w:pStyle w:val="BodyText"/>
        <w:widowControl/>
        <w:pBdr/>
        <w:bidi w:val="0"/>
        <w:spacing w:lineRule="atLeast" w:line="225" w:before="120" w:after="120"/>
        <w:ind w:hanging="0" w:start="0" w:end="0"/>
        <w:jc w:val="start"/>
        <w:rPr>
          <w:rFonts w:ascii="Arial;sans-serif" w:hAnsi="Arial;sans-serif"/>
          <w:b w:val="false"/>
          <w:i/>
          <w:caps w:val="false"/>
          <w:smallCaps w:val="false"/>
          <w:color w:val="000000"/>
          <w:spacing w:val="0"/>
          <w:sz w:val="20"/>
          <w:lang w:val="en-GB"/>
        </w:rPr>
      </w:pPr>
      <w:r>
        <w:rPr>
          <w:rFonts w:ascii="Arial;sans-serif" w:hAnsi="Arial;sans-serif"/>
          <w:b w:val="false"/>
          <w:i/>
          <w:caps w:val="false"/>
          <w:smallCaps w:val="false"/>
          <w:color w:val="000000"/>
          <w:spacing w:val="0"/>
          <w:sz w:val="20"/>
          <w:lang w:val="en-GB"/>
        </w:rPr>
        <w:t>*** Trường hợp doanh nghiệp phát hành là công ty mẹ, chỉ tiêu lợi nhuận/lỗ sau thuế là chỉ tiêu Lợi nhuận sau thuế của Công ty mẹ tại BCTC hợp nhất.</w:t>
      </w:r>
    </w:p>
    <w:p>
      <w:pPr>
        <w:pStyle w:val="BodyText"/>
        <w:widowControl/>
        <w:pBdr/>
        <w:bidi w:val="0"/>
        <w:spacing w:lineRule="atLeast" w:line="225" w:before="120" w:after="120"/>
        <w:ind w:hanging="0" w:start="0" w:end="0"/>
        <w:jc w:val="start"/>
        <w:rPr>
          <w:rFonts w:ascii="Arial;sans-serif" w:hAnsi="Arial;sans-serif"/>
          <w:b w:val="false"/>
          <w:i/>
          <w:caps w:val="false"/>
          <w:smallCaps w:val="false"/>
          <w:color w:val="000000"/>
          <w:spacing w:val="0"/>
          <w:sz w:val="20"/>
          <w:lang w:val="en-GB"/>
        </w:rPr>
      </w:pPr>
      <w:r>
        <w:rPr>
          <w:rFonts w:ascii="Arial;sans-serif" w:hAnsi="Arial;sans-serif"/>
          <w:b w:val="false"/>
          <w:i/>
          <w:caps w:val="false"/>
          <w:smallCaps w:val="false"/>
          <w:color w:val="000000"/>
          <w:spacing w:val="0"/>
          <w:sz w:val="20"/>
          <w:lang w:val="en-GB"/>
        </w:rPr>
        <w:t>**** Đối với các doanh nghiệp theo quy định của pháp luật chuyên ngành có quy định về chỉ tiêu an toàn tài chính, phải nêu rõ: loại hình doanh nghiệp, các chỉ tiêu an toàn tài chính theo quy định tại pháp luật nào chuyên ngành, các chỉ tiêu theo báo cáo tài chính được kiểm toán là bao nhiêu và nêu rõ doanh nghiệp có đáp ứng được chỉ tiêu an toàn tài chính theo quy định của pháp luật không.</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b) Tình hình thanh toán lãi, gốc trái phiếu đã phát hành và đến hạn thanh toán và các khoản nợ đến hạn (không bao gồm nợ trái phiếu) trong 03 năm liên tiếp liền kề trước đợt chào bán trái phiếu (trong đó nêu chi tiết việc có thanh toán đầy đủ, đúng hạn gốc, lãi hay không).</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6. Tình hình phát hành và sử dụng vốn đối với các trái phiếu còn dư nợ (cụ thể từng loại trái phiếu gồm: trái phiếu phát hành riêng lẻ, phát hành ra công chúng, trái phiếu phát hành ra thị trường quốc tế):</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 Tổng khối lượng trái phiếu đã phát hành:</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 Tổng giá trị trái phiếu đã phát hành:</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 Lãi, gốc trái phiếu đã thanh toán:</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 Dư nợ trái phiếu còn lại:</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 Tình hình sử dụng vốn trái phiếu và kế hoạch thanh toán lãi, gốc trái phiếu:</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 Vi phạm pháp luật về phát hành trái phiếu doanh nghiệp theo quyết định của cơ quan nhà nước hoặc cấp có thẩm quyền trong 03 năm liên tiếp trước đợt chào bán trái phiếu (nếu có): nêu rõ loại vi phạm, cơ quan ra quyết định vi phạm, biện pháp khắc phục, tình trạng đã khắc phục.</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7. Ý kiến kiểm toán/ý kiến soát xét đối với báo cáo tài chính theo quy định của pháp luật </w:t>
      </w:r>
      <w:r>
        <w:rPr>
          <w:rFonts w:ascii="Arial;sans-serif" w:hAnsi="Arial;sans-serif"/>
          <w:b w:val="false"/>
          <w:i/>
          <w:caps w:val="false"/>
          <w:smallCaps w:val="false"/>
          <w:color w:val="000000"/>
          <w:spacing w:val="0"/>
          <w:sz w:val="20"/>
          <w:lang w:val="en-GB"/>
        </w:rPr>
        <w:t>(trường hợp ý kiến kiểm toán là ý kiến ngoại trừ thì khoản ngoại trừ không ảnh hưởng đến điều kiện chào bán, doanh nghiệp phát hành phải có tài liệu giải thích hợp lý và có xác nhận của tổ chức kiểm toán về ảnh hưởng của việc ngoại trừ (nếu có))</w:t>
      </w:r>
    </w:p>
    <w:p>
      <w:pPr>
        <w:pStyle w:val="BodyText"/>
        <w:widowControl/>
        <w:pBdr/>
        <w:bidi w:val="0"/>
        <w:spacing w:lineRule="atLeast" w:line="225" w:before="120" w:after="120"/>
        <w:ind w:hanging="0" w:start="0" w:end="0"/>
        <w:jc w:val="start"/>
        <w:rPr>
          <w:rFonts w:ascii="Arial;sans-serif" w:hAnsi="Arial;sans-serif"/>
          <w:b/>
          <w:i w:val="false"/>
          <w:caps w:val="false"/>
          <w:smallCaps w:val="false"/>
          <w:color w:val="000000"/>
          <w:spacing w:val="0"/>
          <w:sz w:val="20"/>
          <w:lang w:val="en-GB"/>
        </w:rPr>
      </w:pPr>
      <w:r>
        <w:rPr>
          <w:rFonts w:ascii="Arial;sans-serif" w:hAnsi="Arial;sans-serif"/>
          <w:b/>
          <w:i w:val="false"/>
          <w:caps w:val="false"/>
          <w:smallCaps w:val="false"/>
          <w:color w:val="000000"/>
          <w:spacing w:val="0"/>
          <w:sz w:val="20"/>
          <w:lang w:val="en-GB"/>
        </w:rPr>
        <w:t>II. THÔNG TIN VỀ ĐỢT CHÀO BÁN TRÁI PHIẾU</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1. Căn cứ pháp lý của đợt chào bán (nêu đầy đủ căn cứ pháp lý).</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2. Việc đáp ứng các điều kiện phát hành trái phiếu của doanh nghiệp: (</w:t>
      </w:r>
      <w:r>
        <w:rPr>
          <w:rFonts w:ascii="Arial;sans-serif" w:hAnsi="Arial;sans-serif"/>
          <w:b w:val="false"/>
          <w:i/>
          <w:caps w:val="false"/>
          <w:smallCaps w:val="false"/>
          <w:color w:val="000000"/>
          <w:spacing w:val="0"/>
          <w:sz w:val="20"/>
          <w:lang w:val="en-GB"/>
        </w:rPr>
        <w:t>nêu rõ việc đáp ứng từng điều kiện chào bán trái phiếu kèm theo hồ sơ và tài liệu chứng minh theo quy định của pháp luật</w:t>
      </w:r>
      <w:r>
        <w:rPr>
          <w:rFonts w:ascii="Arial;sans-serif" w:hAnsi="Arial;sans-serif"/>
          <w:b w:val="false"/>
          <w:i w:val="false"/>
          <w:caps w:val="false"/>
          <w:smallCaps w:val="false"/>
          <w:color w:val="000000"/>
          <w:spacing w:val="0"/>
          <w:sz w:val="20"/>
          <w:lang w:val="en-GB"/>
        </w:rPr>
        <w:t>)</w:t>
      </w:r>
    </w:p>
    <w:p>
      <w:pPr>
        <w:pStyle w:val="BodyText"/>
        <w:widowControl/>
        <w:pBdr/>
        <w:bidi w:val="0"/>
        <w:spacing w:lineRule="atLeast" w:line="225" w:before="0" w:after="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3. Mục đích của đợt phát hành trái phiếu (</w:t>
      </w:r>
      <w:r>
        <w:rPr>
          <w:rFonts w:ascii="Arial;sans-serif" w:hAnsi="Arial;sans-serif"/>
          <w:b w:val="false"/>
          <w:i/>
          <w:caps w:val="false"/>
          <w:smallCaps w:val="false"/>
          <w:color w:val="000000"/>
          <w:spacing w:val="0"/>
          <w:sz w:val="20"/>
          <w:lang w:val="en-GB"/>
        </w:rPr>
        <w:t>nêu rõ theo quy định tại</w:t>
      </w:r>
      <w:r>
        <w:rPr>
          <w:rFonts w:ascii="Arial;sans-serif" w:hAnsi="Arial;sans-serif"/>
          <w:b w:val="false"/>
          <w:i w:val="false"/>
          <w:caps w:val="false"/>
          <w:smallCaps w:val="false"/>
          <w:color w:val="000000"/>
          <w:spacing w:val="0"/>
          <w:sz w:val="20"/>
          <w:lang w:val="en-GB"/>
        </w:rPr>
        <w:t> </w:t>
      </w:r>
      <w:bookmarkStart w:id="3" w:name="dc_63"/>
      <w:bookmarkEnd w:id="3"/>
      <w:r>
        <w:rPr>
          <w:rFonts w:ascii="Arial;sans-serif" w:hAnsi="Arial;sans-serif"/>
          <w:b w:val="false"/>
          <w:i/>
          <w:caps w:val="false"/>
          <w:smallCaps w:val="false"/>
          <w:strike w:val="false"/>
          <w:dstrike w:val="false"/>
          <w:color w:val="0000FF"/>
          <w:spacing w:val="0"/>
          <w:sz w:val="20"/>
          <w:u w:val="none"/>
          <w:effect w:val="none"/>
          <w:lang w:val="en-GB"/>
        </w:rPr>
        <w:t>khoản 2 Điều 5 Nghị định số 200/2026/NĐ-CP</w:t>
      </w:r>
      <w:r>
        <w:rPr>
          <w:rFonts w:ascii="Arial;sans-serif" w:hAnsi="Arial;sans-serif"/>
          <w:b w:val="false"/>
          <w:i w:val="false"/>
          <w:caps w:val="false"/>
          <w:smallCaps w:val="false"/>
          <w:color w:val="000000"/>
          <w:spacing w:val="0"/>
          <w:sz w:val="20"/>
          <w:lang w:val="en-GB"/>
        </w:rPr>
        <w:t>)</w:t>
      </w:r>
    </w:p>
    <w:p>
      <w:pPr>
        <w:pStyle w:val="BodyText"/>
        <w:widowControl/>
        <w:pBdr/>
        <w:bidi w:val="0"/>
        <w:spacing w:lineRule="atLeast" w:line="225" w:before="120" w:after="120"/>
        <w:ind w:hanging="0" w:start="0" w:end="0"/>
        <w:jc w:val="start"/>
        <w:rPr>
          <w:rFonts w:ascii="Arial;sans-serif" w:hAnsi="Arial;sans-serif"/>
          <w:b w:val="false"/>
          <w:i/>
          <w:caps w:val="false"/>
          <w:smallCaps w:val="false"/>
          <w:color w:val="000000"/>
          <w:spacing w:val="0"/>
          <w:sz w:val="20"/>
          <w:lang w:val="en-GB"/>
        </w:rPr>
      </w:pPr>
      <w:r>
        <w:rPr>
          <w:rFonts w:ascii="Arial;sans-serif" w:hAnsi="Arial;sans-serif"/>
          <w:b w:val="false"/>
          <w:i/>
          <w:caps w:val="false"/>
          <w:smallCaps w:val="false"/>
          <w:color w:val="000000"/>
          <w:spacing w:val="0"/>
          <w:sz w:val="20"/>
          <w:lang w:val="en-GB"/>
        </w:rPr>
        <w:t>(Liệt kê chi tiết các tài liệu pháp lý về mục đích phát hành trái phiếu đính kèm tại Phụ lục 7 của Bản công bố thông tin)</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4. Điều kiện, điều khoản của trái phiếu, cụ thể:</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a) Khối lượng trái phiếu dự kiến phát hành:</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 Số lượng trái phiếu dự kiến phát hành (trái phiếu):</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 Giá trị trái phiếu dự kiến phát hành theo mệnh giá (đồng):</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b) Kỳ hạn trái phiếu:</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c) Đồng tiền phát hành và thanh toán:</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d) Mệnh giá:</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đ) Hình thức trái phiếu:</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e) Lãi suất danh nghĩa dự kiến: (</w:t>
      </w:r>
      <w:r>
        <w:rPr>
          <w:rFonts w:ascii="Arial;sans-serif" w:hAnsi="Arial;sans-serif"/>
          <w:b w:val="false"/>
          <w:i/>
          <w:caps w:val="false"/>
          <w:smallCaps w:val="false"/>
          <w:color w:val="000000"/>
          <w:spacing w:val="0"/>
          <w:sz w:val="20"/>
          <w:lang w:val="en-GB"/>
        </w:rPr>
        <w:t>trường hợp lãi suất thả nổi, lãi suất kết hợp thì nêu cách thức xác định lãi suất</w:t>
      </w:r>
      <w:r>
        <w:rPr>
          <w:rFonts w:ascii="Arial;sans-serif" w:hAnsi="Arial;sans-serif"/>
          <w:b w:val="false"/>
          <w:i w:val="false"/>
          <w:caps w:val="false"/>
          <w:smallCaps w:val="false"/>
          <w:color w:val="000000"/>
          <w:spacing w:val="0"/>
          <w:sz w:val="20"/>
          <w:lang w:val="en-GB"/>
        </w:rPr>
        <w:t>)</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g) Loại hình trái phiếu:</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h) Phương thức thanh toán lãi, gốc trái phiếu:</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5. Ngày phát hành dự kiến (</w:t>
      </w:r>
      <w:r>
        <w:rPr>
          <w:rFonts w:ascii="Arial;sans-serif" w:hAnsi="Arial;sans-serif"/>
          <w:b w:val="false"/>
          <w:i/>
          <w:caps w:val="false"/>
          <w:smallCaps w:val="false"/>
          <w:color w:val="000000"/>
          <w:spacing w:val="0"/>
          <w:sz w:val="20"/>
          <w:lang w:val="en-GB"/>
        </w:rPr>
        <w:t>nêu rõ ngày, tháng, năm cụ thể</w:t>
      </w:r>
      <w:r>
        <w:rPr>
          <w:rFonts w:ascii="Arial;sans-serif" w:hAnsi="Arial;sans-serif"/>
          <w:b w:val="false"/>
          <w:i w:val="false"/>
          <w:caps w:val="false"/>
          <w:smallCaps w:val="false"/>
          <w:color w:val="000000"/>
          <w:spacing w:val="0"/>
          <w:sz w:val="20"/>
          <w:lang w:val="en-GB"/>
        </w:rPr>
        <w:t>):</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6. Thị trường phát hành (</w:t>
      </w:r>
      <w:r>
        <w:rPr>
          <w:rFonts w:ascii="Arial;sans-serif" w:hAnsi="Arial;sans-serif"/>
          <w:b w:val="false"/>
          <w:i/>
          <w:caps w:val="false"/>
          <w:smallCaps w:val="false"/>
          <w:color w:val="000000"/>
          <w:spacing w:val="0"/>
          <w:sz w:val="20"/>
          <w:lang w:val="en-GB"/>
        </w:rPr>
        <w:t>đối với phát hành ra thị trường quốc tế</w:t>
      </w:r>
      <w:r>
        <w:rPr>
          <w:rFonts w:ascii="Arial;sans-serif" w:hAnsi="Arial;sans-serif"/>
          <w:b w:val="false"/>
          <w:i w:val="false"/>
          <w:caps w:val="false"/>
          <w:smallCaps w:val="false"/>
          <w:color w:val="000000"/>
          <w:spacing w:val="0"/>
          <w:sz w:val="20"/>
          <w:lang w:val="en-GB"/>
        </w:rPr>
        <w:t>):</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7. Phương thức phát hành:</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8. Đối tượng chào bán trái phiếu theo quy định của pháp luật (</w:t>
      </w:r>
      <w:r>
        <w:rPr>
          <w:rFonts w:ascii="Arial;sans-serif" w:hAnsi="Arial;sans-serif"/>
          <w:b w:val="false"/>
          <w:i/>
          <w:caps w:val="false"/>
          <w:smallCaps w:val="false"/>
          <w:color w:val="000000"/>
          <w:spacing w:val="0"/>
          <w:sz w:val="20"/>
          <w:lang w:val="en-GB"/>
        </w:rPr>
        <w:t>đánh dấu cụ thể những đối tượng chào bán trái phiếu):</w:t>
      </w:r>
    </w:p>
    <w:tbl>
      <w:tblPr>
        <w:tblW w:w="5000" w:type="pct"/>
        <w:jc w:val="start"/>
        <w:tblInd w:w="0" w:type="dxa"/>
        <w:tblLayout w:type="fixed"/>
        <w:tblCellMar>
          <w:top w:w="0" w:type="dxa"/>
          <w:start w:w="0" w:type="dxa"/>
          <w:bottom w:w="0" w:type="dxa"/>
          <w:end w:w="0" w:type="dxa"/>
        </w:tblCellMar>
      </w:tblPr>
      <w:tblGrid>
        <w:gridCol w:w="4818"/>
        <w:gridCol w:w="4819"/>
      </w:tblGrid>
      <w:tr>
        <w:trPr/>
        <w:tc>
          <w:tcPr>
            <w:tcW w:w="4818" w:type="dxa"/>
            <w:tcBorders/>
          </w:tcPr>
          <w:p>
            <w:pPr>
              <w:pStyle w:val="TableContents"/>
              <w:widowControl/>
              <w:pBdr/>
              <w:bidi w:val="0"/>
              <w:spacing w:lineRule="atLeast" w:line="225" w:before="120" w:after="120"/>
              <w:ind w:hanging="0" w:start="0" w:end="0"/>
              <w:jc w:val="center"/>
              <w:rPr>
                <w:rFonts w:ascii="Arial;sans-serif" w:hAnsi="Arial;sans-serif"/>
                <w:color w:val="000000"/>
                <w:sz w:val="20"/>
                <w:lang w:val="nl-NL"/>
              </w:rPr>
            </w:pPr>
            <w:r>
              <w:rPr>
                <w:rFonts w:ascii="Arial;sans-serif" w:hAnsi="Arial;sans-serif"/>
                <w:color w:val="000000"/>
                <w:sz w:val="20"/>
                <w:lang w:val="nl-NL"/>
              </w:rPr>
              <w:t xml:space="preserve">□ </w:t>
            </w:r>
            <w:r>
              <w:rPr>
                <w:rFonts w:ascii="Arial;sans-serif" w:hAnsi="Arial;sans-serif"/>
                <w:color w:val="000000"/>
                <w:sz w:val="20"/>
                <w:lang w:val="en-GB"/>
              </w:rPr>
              <w:t>Nhà đầu tư chứng khoán chuyên nghiệp là tổ chức</w:t>
            </w:r>
          </w:p>
        </w:tc>
        <w:tc>
          <w:tcPr>
            <w:tcW w:w="4819" w:type="dxa"/>
            <w:tcBorders/>
          </w:tcPr>
          <w:p>
            <w:pPr>
              <w:pStyle w:val="TableContents"/>
              <w:widowControl/>
              <w:pBdr/>
              <w:bidi w:val="0"/>
              <w:spacing w:lineRule="atLeast" w:line="225" w:before="120" w:after="120"/>
              <w:ind w:hanging="0" w:start="0" w:end="0"/>
              <w:jc w:val="center"/>
              <w:rPr>
                <w:rFonts w:ascii="Arial;sans-serif" w:hAnsi="Arial;sans-serif"/>
                <w:color w:val="000000"/>
                <w:sz w:val="20"/>
                <w:lang w:val="nl-NL"/>
              </w:rPr>
            </w:pPr>
            <w:r>
              <w:rPr>
                <w:rFonts w:ascii="Arial;sans-serif" w:hAnsi="Arial;sans-serif"/>
                <w:color w:val="000000"/>
                <w:sz w:val="20"/>
                <w:lang w:val="nl-NL"/>
              </w:rPr>
              <w:t xml:space="preserve">□ </w:t>
            </w:r>
            <w:r>
              <w:rPr>
                <w:rFonts w:ascii="Arial;sans-serif" w:hAnsi="Arial;sans-serif"/>
                <w:color w:val="000000"/>
                <w:sz w:val="20"/>
                <w:lang w:val="en-GB"/>
              </w:rPr>
              <w:t>Nhà đầu tư chiến lược là tổ chức</w:t>
            </w:r>
          </w:p>
        </w:tc>
      </w:tr>
      <w:tr>
        <w:trPr/>
        <w:tc>
          <w:tcPr>
            <w:tcW w:w="4818" w:type="dxa"/>
            <w:tcBorders/>
          </w:tcPr>
          <w:p>
            <w:pPr>
              <w:pStyle w:val="TableContents"/>
              <w:widowControl/>
              <w:pBdr/>
              <w:bidi w:val="0"/>
              <w:spacing w:lineRule="atLeast" w:line="225" w:before="120" w:after="120"/>
              <w:ind w:hanging="0" w:start="0" w:end="0"/>
              <w:jc w:val="center"/>
              <w:rPr>
                <w:rFonts w:ascii="Arial;sans-serif" w:hAnsi="Arial;sans-serif"/>
                <w:color w:val="000000"/>
                <w:sz w:val="20"/>
                <w:lang w:val="nl-NL"/>
              </w:rPr>
            </w:pPr>
            <w:r>
              <w:rPr>
                <w:rFonts w:ascii="Arial;sans-serif" w:hAnsi="Arial;sans-serif"/>
                <w:color w:val="000000"/>
                <w:sz w:val="20"/>
                <w:lang w:val="nl-NL"/>
              </w:rPr>
              <w:t xml:space="preserve">□ </w:t>
            </w:r>
            <w:r>
              <w:rPr>
                <w:rFonts w:ascii="Arial;sans-serif" w:hAnsi="Arial;sans-serif"/>
                <w:color w:val="000000"/>
                <w:sz w:val="20"/>
                <w:lang w:val="en-GB"/>
              </w:rPr>
              <w:t>Nhà đầu tư chứng khoán chuyên nghiệp là cá nhân</w:t>
            </w:r>
          </w:p>
        </w:tc>
        <w:tc>
          <w:tcPr>
            <w:tcW w:w="4819" w:type="dxa"/>
            <w:tcBorders/>
          </w:tcPr>
          <w:p>
            <w:pPr>
              <w:pStyle w:val="TableContents"/>
              <w:widowControl/>
              <w:pBdr/>
              <w:bidi w:val="0"/>
              <w:spacing w:lineRule="atLeast" w:line="225" w:before="120" w:after="120"/>
              <w:ind w:hanging="0" w:start="0" w:end="0"/>
              <w:jc w:val="center"/>
              <w:rPr>
                <w:rFonts w:ascii="Arial;sans-serif" w:hAnsi="Arial;sans-serif"/>
                <w:color w:val="000000"/>
                <w:sz w:val="20"/>
                <w:lang w:val="nl-NL"/>
              </w:rPr>
            </w:pPr>
            <w:r>
              <w:rPr>
                <w:rFonts w:ascii="Arial;sans-serif" w:hAnsi="Arial;sans-serif"/>
                <w:color w:val="000000"/>
                <w:sz w:val="20"/>
                <w:lang w:val="nl-NL"/>
              </w:rPr>
              <w:t xml:space="preserve">□ </w:t>
            </w:r>
            <w:r>
              <w:rPr>
                <w:rFonts w:ascii="Arial;sans-serif" w:hAnsi="Arial;sans-serif"/>
                <w:color w:val="000000"/>
                <w:sz w:val="20"/>
                <w:lang w:val="en-GB"/>
              </w:rPr>
              <w:t>Nhà đầu tư chiến lược là cá nhân</w:t>
            </w:r>
          </w:p>
        </w:tc>
      </w:tr>
    </w:tbl>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9. Quyền lợi và trách nhiệm của nhà đầu tư:</w:t>
      </w:r>
    </w:p>
    <w:p>
      <w:pPr>
        <w:pStyle w:val="BodyText"/>
        <w:widowControl/>
        <w:pBdr/>
        <w:bidi w:val="0"/>
        <w:spacing w:lineRule="atLeast" w:line="225" w:before="0" w:after="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Quyền lợi và trách nhiệm của nhà đầu tư theo quy định của pháp luật (doanh nghiệp phải nêu đầy đủ, chi tiết các quyền lợi, trách nhiệm của nhà đầu tư, trong đó nêu cụ thể tỷ lệ biểu quyết chấp thuận các vấn đề phải được người sở hữu trái phiếu thông qua nhưng không thấp hơn tỷ lệ biểu quyết tương ứng từ 65% tổng số trái phiếu cùng loại đang lưu hành trở lên theo quy định tại </w:t>
      </w:r>
      <w:bookmarkStart w:id="4" w:name="dc_64"/>
      <w:bookmarkEnd w:id="4"/>
      <w:r>
        <w:rPr>
          <w:rFonts w:ascii="Arial;sans-serif" w:hAnsi="Arial;sans-serif"/>
          <w:b w:val="false"/>
          <w:i w:val="false"/>
          <w:caps w:val="false"/>
          <w:smallCaps w:val="false"/>
          <w:strike w:val="false"/>
          <w:dstrike w:val="false"/>
          <w:color w:val="000000"/>
          <w:spacing w:val="0"/>
          <w:sz w:val="20"/>
          <w:u w:val="none"/>
          <w:effect w:val="none"/>
          <w:lang w:val="en-GB"/>
        </w:rPr>
        <w:t>khoản 1 Điều 10 Nghị định số 200/2026/NĐ-CP</w:t>
      </w:r>
      <w:r>
        <w:rPr>
          <w:rFonts w:ascii="Arial;sans-serif" w:hAnsi="Arial;sans-serif"/>
          <w:b w:val="false"/>
          <w:i w:val="false"/>
          <w:caps w:val="false"/>
          <w:smallCaps w:val="false"/>
          <w:color w:val="000000"/>
          <w:spacing w:val="0"/>
          <w:sz w:val="20"/>
          <w:lang w:val="en-GB"/>
        </w:rPr>
        <w:t>).</w:t>
      </w:r>
    </w:p>
    <w:p>
      <w:pPr>
        <w:pStyle w:val="BodyText"/>
        <w:widowControl/>
        <w:pBdr/>
        <w:bidi w:val="0"/>
        <w:spacing w:lineRule="atLeast" w:line="225" w:before="0" w:after="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Nhà đầu tư có quyền được yêu cầu tiếp cận hồ sơ chào bán trái phiếu của doanh nghiệp trong đó bao gồm hợp đồng ký kết giữa doanh nghiệp phát hành và các tổ chức cung cấp dịch vụ liên quan đến đợt chào bán trái phiếu và thực hiện các quyền lợi, trách nhiệm khác theo quy định tại </w:t>
      </w:r>
      <w:bookmarkStart w:id="5" w:name="dc_65"/>
      <w:bookmarkEnd w:id="5"/>
      <w:r>
        <w:rPr>
          <w:rFonts w:ascii="Arial;sans-serif" w:hAnsi="Arial;sans-serif"/>
          <w:b w:val="false"/>
          <w:i w:val="false"/>
          <w:caps w:val="false"/>
          <w:smallCaps w:val="false"/>
          <w:strike w:val="false"/>
          <w:dstrike w:val="false"/>
          <w:color w:val="000000"/>
          <w:spacing w:val="0"/>
          <w:sz w:val="20"/>
          <w:u w:val="none"/>
          <w:effect w:val="none"/>
          <w:lang w:val="en-GB"/>
        </w:rPr>
        <w:t>khoản 4 và khoản 5 Điều 9 Nghị định số 200/2026/NĐ-CP</w:t>
      </w:r>
      <w:r>
        <w:rPr>
          <w:rFonts w:ascii="Arial;sans-serif" w:hAnsi="Arial;sans-serif"/>
          <w:b w:val="false"/>
          <w:i w:val="false"/>
          <w:caps w:val="false"/>
          <w:smallCaps w:val="false"/>
          <w:color w:val="000000"/>
          <w:spacing w:val="0"/>
          <w:sz w:val="20"/>
          <w:lang w:val="en-GB"/>
        </w:rPr>
        <w:t> và pháp luật liên quan.</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10. Phương thức thực hiện quyền (</w:t>
      </w:r>
      <w:r>
        <w:rPr>
          <w:rFonts w:ascii="Arial;sans-serif" w:hAnsi="Arial;sans-serif"/>
          <w:b w:val="false"/>
          <w:i/>
          <w:caps w:val="false"/>
          <w:smallCaps w:val="false"/>
          <w:color w:val="000000"/>
          <w:spacing w:val="0"/>
          <w:sz w:val="20"/>
          <w:lang w:val="en-GB"/>
        </w:rPr>
        <w:t>trong trường hợp phát hành trái phiếu chuyển đổi, phát hành trái phiếu kèm chứng quyền</w:t>
      </w:r>
      <w:r>
        <w:rPr>
          <w:rFonts w:ascii="Arial;sans-serif" w:hAnsi="Arial;sans-serif"/>
          <w:b w:val="false"/>
          <w:i w:val="false"/>
          <w:caps w:val="false"/>
          <w:smallCaps w:val="false"/>
          <w:color w:val="000000"/>
          <w:spacing w:val="0"/>
          <w:sz w:val="20"/>
          <w:lang w:val="en-GB"/>
        </w:rPr>
        <w:t>).</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 Các quyền kèm theo trái phiếu;</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 Điều kiện, thời gian thực hiện quyền;</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 Tỷ lệ chuyển đổi và phương pháp tính giá mua và/hoặc chuyển đổi;</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 Phương pháp tính và cách thức đền bù thiệt hại trong trường hợp không thực hiện được quyền;</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 Các điều khoản khác liên quan đến quyền lợi của người sở hữu chứng quyền.</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lang w:val="nl-NL"/>
        </w:rPr>
      </w:pPr>
      <w:r>
        <w:rPr>
          <w:rFonts w:ascii="Arial;sans-serif" w:hAnsi="Arial;sans-serif"/>
          <w:b w:val="false"/>
          <w:i w:val="false"/>
          <w:caps w:val="false"/>
          <w:smallCaps w:val="false"/>
          <w:color w:val="000000"/>
          <w:spacing w:val="0"/>
          <w:sz w:val="20"/>
          <w:lang w:val="en-GB"/>
        </w:rPr>
        <w:t>11. Cam kết về bảo đảm</w:t>
      </w:r>
      <w:r>
        <w:rPr>
          <w:rFonts w:ascii="Arial;Helvetica;sans-serif" w:hAnsi="Arial;Helvetica;sans-serif"/>
          <w:b w:val="false"/>
          <w:i w:val="false"/>
          <w:caps w:val="false"/>
          <w:smallCaps w:val="false"/>
          <w:color w:val="000000"/>
          <w:spacing w:val="0"/>
          <w:sz w:val="18"/>
          <w:lang w:val="nl-NL"/>
        </w:rPr>
        <w:t> </w:t>
      </w:r>
      <w:r>
        <w:rPr>
          <w:rFonts w:ascii="Arial;sans-serif" w:hAnsi="Arial;sans-serif"/>
          <w:b w:val="false"/>
          <w:i w:val="false"/>
          <w:caps w:val="false"/>
          <w:smallCaps w:val="false"/>
          <w:color w:val="000000"/>
          <w:spacing w:val="0"/>
          <w:sz w:val="20"/>
          <w:lang w:val="en-GB"/>
        </w:rPr>
        <w:t>(</w:t>
      </w:r>
      <w:r>
        <w:rPr>
          <w:rFonts w:ascii="Arial;sans-serif" w:hAnsi="Arial;sans-serif"/>
          <w:b w:val="false"/>
          <w:i/>
          <w:caps w:val="false"/>
          <w:smallCaps w:val="false"/>
          <w:color w:val="000000"/>
          <w:spacing w:val="0"/>
          <w:sz w:val="20"/>
          <w:lang w:val="en-GB"/>
        </w:rPr>
        <w:t>trong trường hợp phát hành trái phiếu có bảo đảm</w:t>
      </w:r>
      <w:r>
        <w:rPr>
          <w:rFonts w:ascii="Arial;sans-serif" w:hAnsi="Arial;sans-serif"/>
          <w:b w:val="false"/>
          <w:i w:val="false"/>
          <w:caps w:val="false"/>
          <w:smallCaps w:val="false"/>
          <w:color w:val="000000"/>
          <w:spacing w:val="0"/>
          <w:sz w:val="20"/>
          <w:lang w:val="en-GB"/>
        </w:rPr>
        <w: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lang w:val="nl-NL"/>
        </w:rPr>
      </w:pPr>
      <w:r>
        <w:rPr>
          <w:rFonts w:ascii="Arial;sans-serif" w:hAnsi="Arial;sans-serif"/>
          <w:b w:val="false"/>
          <w:i w:val="false"/>
          <w:caps w:val="false"/>
          <w:smallCaps w:val="false"/>
          <w:color w:val="000000"/>
          <w:spacing w:val="0"/>
          <w:sz w:val="20"/>
          <w:lang w:val="en-GB"/>
        </w:rPr>
        <w:t>- Hình thức bảo đảm (</w:t>
      </w:r>
      <w:r>
        <w:rPr>
          <w:rFonts w:ascii="Arial;sans-serif" w:hAnsi="Arial;sans-serif"/>
          <w:b w:val="false"/>
          <w:i/>
          <w:caps w:val="false"/>
          <w:smallCaps w:val="false"/>
          <w:color w:val="000000"/>
          <w:spacing w:val="0"/>
          <w:sz w:val="20"/>
          <w:lang w:val="en-GB"/>
        </w:rPr>
        <w:t>bảo đảm thanh toán toàn bộ hoặc một phần lãi, gốc bằng tài sản của doanh nghiệp phát hành hoặc tài sản của bên thứ ba theo quy định của pháp luật về bảo đảm thực hiện nghĩa vụ; hoặc được bảo lãnh thanh toán của tổ chức tín dụng, chi nhánh ngân hàng nước ngoài, tổ chức tài chính ở nước ngoài, tổ chức tài chính quốc tế theo cam kết bảo lãnh giữa tổ chức bảo lãnh thanh toán và tổ chức phát hành theo quy định của pháp luật</w:t>
      </w:r>
      <w:r>
        <w:rPr>
          <w:rFonts w:ascii="Arial;sans-serif" w:hAnsi="Arial;sans-serif"/>
          <w:b w:val="false"/>
          <w:i w:val="false"/>
          <w:caps w:val="false"/>
          <w:smallCaps w:val="false"/>
          <w:color w:val="000000"/>
          <w:spacing w:val="0"/>
          <w:sz w:val="20"/>
          <w:lang w:val="en-GB"/>
        </w:rPr>
        <w: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lang w:val="nl-NL"/>
        </w:rPr>
      </w:pPr>
      <w:r>
        <w:rPr>
          <w:rFonts w:ascii="Arial;sans-serif" w:hAnsi="Arial;sans-serif"/>
          <w:b w:val="false"/>
          <w:i w:val="false"/>
          <w:caps w:val="false"/>
          <w:smallCaps w:val="false"/>
          <w:color w:val="000000"/>
          <w:spacing w:val="0"/>
          <w:sz w:val="20"/>
          <w:lang w:val="en-GB"/>
        </w:rPr>
        <w:t>- Tài sản bảo đảm (</w:t>
      </w:r>
      <w:r>
        <w:rPr>
          <w:rFonts w:ascii="Arial;sans-serif" w:hAnsi="Arial;sans-serif"/>
          <w:b w:val="false"/>
          <w:i/>
          <w:caps w:val="false"/>
          <w:smallCaps w:val="false"/>
          <w:color w:val="000000"/>
          <w:spacing w:val="0"/>
          <w:sz w:val="20"/>
          <w:lang w:val="en-GB"/>
        </w:rPr>
        <w:t>liệt kê chi tiết tài sản, giá trị tài sản, tình trạng pháp lý của tài sản, tên tổ chức định giá, hợp đồng bảo hiểm (nếu có), thông tin đăng ký biện pháp bảo đảm, thứ tự thanh toán của nhà đầu tư nắm giữ trái phiếu khi xử lý tài sản bảo đảm để thanh toán nợ...</w:t>
      </w:r>
      <w:r>
        <w:rPr>
          <w:rFonts w:ascii="Arial;sans-serif" w:hAnsi="Arial;sans-serif"/>
          <w:b w:val="false"/>
          <w:i w:val="false"/>
          <w:caps w:val="false"/>
          <w:smallCaps w:val="false"/>
          <w:color w:val="000000"/>
          <w:spacing w:val="0"/>
          <w:sz w:val="20"/>
          <w:lang w:val="en-GB"/>
        </w:rPr>
        <w: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lang w:val="nl-NL"/>
        </w:rPr>
      </w:pPr>
      <w:r>
        <w:rPr>
          <w:rFonts w:ascii="Arial;sans-serif" w:hAnsi="Arial;sans-serif"/>
          <w:b w:val="false"/>
          <w:i w:val="false"/>
          <w:caps w:val="false"/>
          <w:smallCaps w:val="false"/>
          <w:color w:val="000000"/>
          <w:spacing w:val="0"/>
          <w:sz w:val="20"/>
          <w:lang w:val="en-GB"/>
        </w:rPr>
        <w:t>- Tài liệu về tài sản bảo đảm (</w:t>
      </w:r>
      <w:r>
        <w:rPr>
          <w:rFonts w:ascii="Arial;sans-serif" w:hAnsi="Arial;sans-serif"/>
          <w:b w:val="false"/>
          <w:i/>
          <w:caps w:val="false"/>
          <w:smallCaps w:val="false"/>
          <w:color w:val="000000"/>
          <w:spacing w:val="0"/>
          <w:sz w:val="20"/>
          <w:lang w:val="en-GB"/>
        </w:rPr>
        <w:t>liệt kê chi tiết các tài liệu về tình trạng pháp lý của tài sản bảo đảm, tài liệu định giá tài sản bảo đảm bởi tổ chức có chức năng thẩm định giá và tài liệu về đăng ký biện pháp bảo đảm theo quy định của pháp luật về đăng ký giao dịch bảo đảm đính kèm tại Phụ lục 8 của Bản công bố thông tin)</w:t>
      </w:r>
      <w:r>
        <w:rPr>
          <w:rFonts w:ascii="Arial;sans-serif" w:hAnsi="Arial;sans-serif"/>
          <w:b w:val="false"/>
          <w:i w:val="false"/>
          <w:caps w:val="false"/>
          <w:smallCaps w:val="false"/>
          <w:color w:val="000000"/>
          <w:spacing w:val="0"/>
          <w:sz w:val="20"/>
          <w:lang w:val="en-GB"/>
        </w:rPr>
        <w:t>:</w:t>
      </w:r>
    </w:p>
    <w:tbl>
      <w:tblPr>
        <w:tblW w:w="5000" w:type="pct"/>
        <w:jc w:val="start"/>
        <w:tblInd w:w="0" w:type="dxa"/>
        <w:tblLayout w:type="fixed"/>
        <w:tblCellMar>
          <w:top w:w="0" w:type="dxa"/>
          <w:start w:w="0" w:type="dxa"/>
          <w:bottom w:w="0" w:type="dxa"/>
          <w:end w:w="0" w:type="dxa"/>
        </w:tblCellMar>
      </w:tblPr>
      <w:tblGrid>
        <w:gridCol w:w="702"/>
        <w:gridCol w:w="1405"/>
        <w:gridCol w:w="1707"/>
        <w:gridCol w:w="1306"/>
        <w:gridCol w:w="1306"/>
        <w:gridCol w:w="1404"/>
        <w:gridCol w:w="1807"/>
      </w:tblGrid>
      <w:tr>
        <w:trPr/>
        <w:tc>
          <w:tcPr>
            <w:tcW w:w="702" w:type="dxa"/>
            <w:tcBorders/>
            <w:vAlign w:val="center"/>
          </w:tcPr>
          <w:p>
            <w:pPr>
              <w:pStyle w:val="TableContents"/>
              <w:widowControl/>
              <w:pBdr/>
              <w:bidi w:val="0"/>
              <w:spacing w:lineRule="atLeast" w:line="225" w:before="120" w:after="120"/>
              <w:ind w:hanging="0" w:start="0" w:end="0"/>
              <w:jc w:val="center"/>
              <w:rPr>
                <w:rFonts w:ascii="Arial;sans-serif" w:hAnsi="Arial;sans-serif"/>
                <w:b/>
                <w:color w:val="000000"/>
                <w:sz w:val="20"/>
                <w:lang w:val="en-GB"/>
              </w:rPr>
            </w:pPr>
            <w:r>
              <w:rPr>
                <w:rFonts w:ascii="Arial;sans-serif" w:hAnsi="Arial;sans-serif"/>
                <w:b/>
                <w:color w:val="000000"/>
                <w:sz w:val="20"/>
                <w:lang w:val="en-GB"/>
              </w:rPr>
              <w:t>STT</w:t>
            </w:r>
          </w:p>
        </w:tc>
        <w:tc>
          <w:tcPr>
            <w:tcW w:w="1405" w:type="dxa"/>
            <w:tcBorders/>
            <w:vAlign w:val="center"/>
          </w:tcPr>
          <w:p>
            <w:pPr>
              <w:pStyle w:val="TableContents"/>
              <w:widowControl/>
              <w:pBdr/>
              <w:bidi w:val="0"/>
              <w:spacing w:lineRule="atLeast" w:line="225" w:before="120" w:after="120"/>
              <w:ind w:hanging="0" w:start="0" w:end="0"/>
              <w:jc w:val="center"/>
              <w:rPr>
                <w:rFonts w:ascii="Arial;sans-serif" w:hAnsi="Arial;sans-serif"/>
                <w:b/>
                <w:color w:val="000000"/>
                <w:sz w:val="20"/>
                <w:lang w:val="en-GB"/>
              </w:rPr>
            </w:pPr>
            <w:r>
              <w:rPr>
                <w:rFonts w:ascii="Arial;sans-serif" w:hAnsi="Arial;sans-serif"/>
                <w:b/>
                <w:color w:val="000000"/>
                <w:sz w:val="20"/>
                <w:lang w:val="en-GB"/>
              </w:rPr>
              <w:t>Hình thức bảo đảm</w:t>
            </w:r>
          </w:p>
        </w:tc>
        <w:tc>
          <w:tcPr>
            <w:tcW w:w="1707" w:type="dxa"/>
            <w:tcBorders/>
            <w:vAlign w:val="center"/>
          </w:tcPr>
          <w:p>
            <w:pPr>
              <w:pStyle w:val="TableContents"/>
              <w:widowControl/>
              <w:pBdr/>
              <w:bidi w:val="0"/>
              <w:spacing w:lineRule="atLeast" w:line="225" w:before="120" w:after="120"/>
              <w:ind w:hanging="0" w:start="0" w:end="0"/>
              <w:jc w:val="center"/>
              <w:rPr>
                <w:rFonts w:ascii="Arial;sans-serif" w:hAnsi="Arial;sans-serif"/>
                <w:color w:val="000000"/>
                <w:sz w:val="20"/>
                <w:lang w:val="nl-NL"/>
              </w:rPr>
            </w:pPr>
            <w:r>
              <w:rPr>
                <w:rFonts w:ascii="Arial;sans-serif" w:hAnsi="Arial;sans-serif"/>
                <w:b/>
                <w:color w:val="000000"/>
                <w:sz w:val="20"/>
                <w:lang w:val="en-GB"/>
              </w:rPr>
              <w:t>Loại tài sản bảo đảm </w:t>
            </w:r>
            <w:r>
              <w:rPr>
                <w:rFonts w:ascii="Arial;sans-serif" w:hAnsi="Arial;sans-serif"/>
                <w:b/>
                <w:i/>
                <w:color w:val="000000"/>
                <w:sz w:val="20"/>
                <w:lang w:val="en-GB"/>
              </w:rPr>
              <w:t>(nếu có)</w:t>
            </w:r>
            <w:r>
              <w:rPr>
                <w:rFonts w:ascii="Arial;sans-serif" w:hAnsi="Arial;sans-serif"/>
                <w:b/>
                <w:color w:val="000000"/>
                <w:sz w:val="20"/>
                <w:lang w:val="en-GB"/>
              </w:rPr>
              <w:br/>
            </w:r>
            <w:r>
              <w:rPr>
                <w:rFonts w:ascii="Arial;sans-serif" w:hAnsi="Arial;sans-serif"/>
                <w:i/>
                <w:color w:val="000000"/>
                <w:sz w:val="20"/>
                <w:lang w:val="en-GB"/>
              </w:rPr>
              <w:t>(Chứng khoán/Bất động sản/Chương trình dự án/Tài sản cố định/Khác)</w:t>
            </w:r>
          </w:p>
        </w:tc>
        <w:tc>
          <w:tcPr>
            <w:tcW w:w="1306" w:type="dxa"/>
            <w:tcBorders/>
            <w:vAlign w:val="center"/>
          </w:tcPr>
          <w:p>
            <w:pPr>
              <w:pStyle w:val="TableContents"/>
              <w:widowControl/>
              <w:pBdr/>
              <w:bidi w:val="0"/>
              <w:spacing w:lineRule="atLeast" w:line="225" w:before="120" w:after="120"/>
              <w:ind w:hanging="0" w:start="0" w:end="0"/>
              <w:jc w:val="center"/>
              <w:rPr>
                <w:rFonts w:ascii="Arial;sans-serif" w:hAnsi="Arial;sans-serif"/>
                <w:b/>
                <w:color w:val="000000"/>
                <w:sz w:val="20"/>
                <w:lang w:val="en-GB"/>
              </w:rPr>
            </w:pPr>
            <w:r>
              <w:rPr>
                <w:rFonts w:ascii="Arial;sans-serif" w:hAnsi="Arial;sans-serif"/>
                <w:b/>
                <w:color w:val="000000"/>
                <w:sz w:val="20"/>
                <w:lang w:val="en-GB"/>
              </w:rPr>
              <w:t>Liệt kê chi tiết tài sản bảo đảm /Hợp đồng bảo lãnh thanh toán (nếu có) *</w:t>
            </w:r>
          </w:p>
        </w:tc>
        <w:tc>
          <w:tcPr>
            <w:tcW w:w="1306" w:type="dxa"/>
            <w:tcBorders/>
            <w:vAlign w:val="center"/>
          </w:tcPr>
          <w:p>
            <w:pPr>
              <w:pStyle w:val="TableContents"/>
              <w:widowControl/>
              <w:pBdr/>
              <w:bidi w:val="0"/>
              <w:spacing w:lineRule="atLeast" w:line="225" w:before="120" w:after="120"/>
              <w:ind w:hanging="0" w:start="0" w:end="0"/>
              <w:jc w:val="center"/>
              <w:rPr>
                <w:rFonts w:ascii="Arial;sans-serif" w:hAnsi="Arial;sans-serif"/>
                <w:b/>
                <w:color w:val="000000"/>
                <w:sz w:val="20"/>
                <w:lang w:val="en-GB"/>
              </w:rPr>
            </w:pPr>
            <w:r>
              <w:rPr>
                <w:rFonts w:ascii="Arial;sans-serif" w:hAnsi="Arial;sans-serif"/>
                <w:b/>
                <w:color w:val="000000"/>
                <w:sz w:val="20"/>
                <w:lang w:val="en-GB"/>
              </w:rPr>
              <w:t>Giá trị tài sản bảo đảm hoặc Giá trị được bảo lãnh thanh toán theo hợp đồng (đồng)</w:t>
            </w:r>
          </w:p>
        </w:tc>
        <w:tc>
          <w:tcPr>
            <w:tcW w:w="1404" w:type="dxa"/>
            <w:tcBorders/>
            <w:vAlign w:val="center"/>
          </w:tcPr>
          <w:p>
            <w:pPr>
              <w:pStyle w:val="TableContents"/>
              <w:widowControl/>
              <w:pBdr/>
              <w:bidi w:val="0"/>
              <w:spacing w:lineRule="atLeast" w:line="225" w:before="120" w:after="120"/>
              <w:ind w:hanging="0" w:start="0" w:end="0"/>
              <w:jc w:val="center"/>
              <w:rPr>
                <w:rFonts w:ascii="Arial;sans-serif" w:hAnsi="Arial;sans-serif"/>
                <w:b/>
                <w:color w:val="000000"/>
                <w:sz w:val="20"/>
                <w:lang w:val="en-GB"/>
              </w:rPr>
            </w:pPr>
            <w:r>
              <w:rPr>
                <w:rFonts w:ascii="Arial;sans-serif" w:hAnsi="Arial;sans-serif"/>
                <w:b/>
                <w:color w:val="000000"/>
                <w:sz w:val="20"/>
                <w:lang w:val="en-GB"/>
              </w:rPr>
              <w:t>Tỷ lệ giá trị tài sản bảo đảm hoặc Giá trị được bảo lãnh thanh toán theo hợp đồng/Tổng giá trị phát hành dự kiến (%)</w:t>
            </w:r>
          </w:p>
        </w:tc>
        <w:tc>
          <w:tcPr>
            <w:tcW w:w="1807" w:type="dxa"/>
            <w:tcBorders/>
            <w:vAlign w:val="center"/>
          </w:tcPr>
          <w:p>
            <w:pPr>
              <w:pStyle w:val="TableContents"/>
              <w:widowControl/>
              <w:pBdr/>
              <w:bidi w:val="0"/>
              <w:spacing w:lineRule="atLeast" w:line="225" w:before="120" w:after="120"/>
              <w:ind w:hanging="0" w:start="0" w:end="0"/>
              <w:jc w:val="center"/>
              <w:rPr>
                <w:rFonts w:ascii="Arial;sans-serif" w:hAnsi="Arial;sans-serif"/>
                <w:b/>
                <w:color w:val="000000"/>
                <w:sz w:val="20"/>
                <w:lang w:val="en-GB"/>
              </w:rPr>
            </w:pPr>
            <w:r>
              <w:rPr>
                <w:rFonts w:ascii="Arial;sans-serif" w:hAnsi="Arial;sans-serif"/>
                <w:b/>
                <w:color w:val="000000"/>
                <w:sz w:val="20"/>
                <w:lang w:val="en-GB"/>
              </w:rPr>
              <w:t>Thông tin chi tiết về hình thức bảo đảm (liệt kê chi tiết tên tổ chức định giá, cách tính, thông tin đăng ký biện pháp bảo đảm, thứ tự thanh toán của nhà đầu tư nắm giữ trái phiếu khi xử lý tài sản bảo đảm để thanh toán nợ...)</w:t>
            </w:r>
          </w:p>
        </w:tc>
      </w:tr>
      <w:tr>
        <w:trPr/>
        <w:tc>
          <w:tcPr>
            <w:tcW w:w="702" w:type="dxa"/>
            <w:tcBorders/>
            <w:vAlign w:val="center"/>
          </w:tcPr>
          <w:p>
            <w:pPr>
              <w:pStyle w:val="TableContents"/>
              <w:widowControl/>
              <w:pBdr/>
              <w:bidi w:val="0"/>
              <w:spacing w:lineRule="atLeast" w:line="225" w:before="120" w:after="120"/>
              <w:ind w:hanging="0" w:start="0" w:end="0"/>
              <w:jc w:val="center"/>
              <w:rPr>
                <w:rFonts w:ascii="Arial;sans-serif" w:hAnsi="Arial;sans-serif"/>
                <w:color w:val="000000"/>
                <w:sz w:val="20"/>
                <w:lang w:val="nl-NL"/>
              </w:rPr>
            </w:pPr>
            <w:r>
              <w:rPr>
                <w:rFonts w:ascii="Arial;sans-serif" w:hAnsi="Arial;sans-serif"/>
                <w:color w:val="000000"/>
                <w:sz w:val="20"/>
                <w:lang w:val="nl-NL"/>
              </w:rPr>
              <w:t> </w:t>
            </w:r>
          </w:p>
        </w:tc>
        <w:tc>
          <w:tcPr>
            <w:tcW w:w="1405" w:type="dxa"/>
            <w:tcBorders/>
            <w:vAlign w:val="center"/>
          </w:tcPr>
          <w:p>
            <w:pPr>
              <w:pStyle w:val="TableContents"/>
              <w:widowControl/>
              <w:pBdr/>
              <w:bidi w:val="0"/>
              <w:spacing w:lineRule="atLeast" w:line="225" w:before="120" w:after="120"/>
              <w:ind w:hanging="0" w:start="0" w:end="0"/>
              <w:jc w:val="center"/>
              <w:rPr>
                <w:rFonts w:ascii="Arial;sans-serif" w:hAnsi="Arial;sans-serif"/>
                <w:b/>
                <w:color w:val="000000"/>
                <w:sz w:val="20"/>
                <w:lang w:val="en-GB"/>
              </w:rPr>
            </w:pPr>
            <w:r>
              <w:rPr>
                <w:rFonts w:ascii="Arial;sans-serif" w:hAnsi="Arial;sans-serif"/>
                <w:b/>
                <w:color w:val="000000"/>
                <w:sz w:val="20"/>
                <w:lang w:val="en-GB"/>
              </w:rPr>
              <w:t>Bảo đảm bằng tài sản</w:t>
            </w:r>
          </w:p>
        </w:tc>
        <w:tc>
          <w:tcPr>
            <w:tcW w:w="1707" w:type="dxa"/>
            <w:tcBorders/>
            <w:vAlign w:val="center"/>
          </w:tcPr>
          <w:p>
            <w:pPr>
              <w:pStyle w:val="TableContents"/>
              <w:widowControl/>
              <w:pBdr/>
              <w:bidi w:val="0"/>
              <w:spacing w:lineRule="atLeast" w:line="225" w:before="120" w:after="120"/>
              <w:ind w:hanging="0" w:start="0" w:end="0"/>
              <w:jc w:val="center"/>
              <w:rPr>
                <w:rFonts w:ascii="Arial;sans-serif" w:hAnsi="Arial;sans-serif"/>
                <w:color w:val="000000"/>
                <w:sz w:val="20"/>
                <w:lang w:val="nl-NL"/>
              </w:rPr>
            </w:pPr>
            <w:r>
              <w:rPr>
                <w:rFonts w:ascii="Arial;sans-serif" w:hAnsi="Arial;sans-serif"/>
                <w:color w:val="000000"/>
                <w:sz w:val="20"/>
                <w:lang w:val="nl-NL"/>
              </w:rPr>
              <w:t> </w:t>
            </w:r>
          </w:p>
        </w:tc>
        <w:tc>
          <w:tcPr>
            <w:tcW w:w="1306" w:type="dxa"/>
            <w:tcBorders/>
            <w:vAlign w:val="center"/>
          </w:tcPr>
          <w:p>
            <w:pPr>
              <w:pStyle w:val="TableContents"/>
              <w:widowControl/>
              <w:pBdr/>
              <w:bidi w:val="0"/>
              <w:spacing w:lineRule="atLeast" w:line="225" w:before="120" w:after="120"/>
              <w:ind w:hanging="0" w:start="0" w:end="0"/>
              <w:jc w:val="center"/>
              <w:rPr>
                <w:rFonts w:ascii="Arial;sans-serif" w:hAnsi="Arial;sans-serif"/>
                <w:color w:val="000000"/>
                <w:sz w:val="20"/>
                <w:lang w:val="nl-NL"/>
              </w:rPr>
            </w:pPr>
            <w:r>
              <w:rPr>
                <w:rFonts w:ascii="Arial;sans-serif" w:hAnsi="Arial;sans-serif"/>
                <w:color w:val="000000"/>
                <w:sz w:val="20"/>
                <w:lang w:val="nl-NL"/>
              </w:rPr>
              <w:t> </w:t>
            </w:r>
          </w:p>
        </w:tc>
        <w:tc>
          <w:tcPr>
            <w:tcW w:w="1306" w:type="dxa"/>
            <w:tcBorders/>
            <w:vAlign w:val="center"/>
          </w:tcPr>
          <w:p>
            <w:pPr>
              <w:pStyle w:val="TableContents"/>
              <w:widowControl/>
              <w:pBdr/>
              <w:bidi w:val="0"/>
              <w:spacing w:lineRule="atLeast" w:line="225" w:before="120" w:after="120"/>
              <w:ind w:hanging="0" w:start="0" w:end="0"/>
              <w:jc w:val="center"/>
              <w:rPr>
                <w:rFonts w:ascii="Arial;sans-serif" w:hAnsi="Arial;sans-serif"/>
                <w:color w:val="000000"/>
                <w:sz w:val="20"/>
                <w:lang w:val="nl-NL"/>
              </w:rPr>
            </w:pPr>
            <w:r>
              <w:rPr>
                <w:rFonts w:ascii="Arial;sans-serif" w:hAnsi="Arial;sans-serif"/>
                <w:color w:val="000000"/>
                <w:sz w:val="20"/>
                <w:lang w:val="nl-NL"/>
              </w:rPr>
              <w:t> </w:t>
            </w:r>
          </w:p>
        </w:tc>
        <w:tc>
          <w:tcPr>
            <w:tcW w:w="1404" w:type="dxa"/>
            <w:tcBorders/>
            <w:vAlign w:val="center"/>
          </w:tcPr>
          <w:p>
            <w:pPr>
              <w:pStyle w:val="TableContents"/>
              <w:widowControl/>
              <w:pBdr/>
              <w:bidi w:val="0"/>
              <w:spacing w:lineRule="atLeast" w:line="225" w:before="120" w:after="120"/>
              <w:ind w:hanging="0" w:start="0" w:end="0"/>
              <w:jc w:val="center"/>
              <w:rPr>
                <w:rFonts w:ascii="Arial;sans-serif" w:hAnsi="Arial;sans-serif"/>
                <w:color w:val="000000"/>
                <w:sz w:val="20"/>
                <w:lang w:val="nl-NL"/>
              </w:rPr>
            </w:pPr>
            <w:r>
              <w:rPr>
                <w:rFonts w:ascii="Arial;sans-serif" w:hAnsi="Arial;sans-serif"/>
                <w:color w:val="000000"/>
                <w:sz w:val="20"/>
                <w:lang w:val="nl-NL"/>
              </w:rPr>
              <w:t> </w:t>
            </w:r>
          </w:p>
        </w:tc>
        <w:tc>
          <w:tcPr>
            <w:tcW w:w="1807" w:type="dxa"/>
            <w:tcBorders/>
            <w:vAlign w:val="center"/>
          </w:tcPr>
          <w:p>
            <w:pPr>
              <w:pStyle w:val="TableContents"/>
              <w:widowControl/>
              <w:pBdr/>
              <w:bidi w:val="0"/>
              <w:spacing w:lineRule="atLeast" w:line="225" w:before="120" w:after="120"/>
              <w:ind w:hanging="0" w:start="0" w:end="0"/>
              <w:jc w:val="center"/>
              <w:rPr>
                <w:rFonts w:ascii="Arial;sans-serif" w:hAnsi="Arial;sans-serif"/>
                <w:color w:val="000000"/>
                <w:sz w:val="20"/>
                <w:lang w:val="nl-NL"/>
              </w:rPr>
            </w:pPr>
            <w:r>
              <w:rPr>
                <w:rFonts w:ascii="Arial;sans-serif" w:hAnsi="Arial;sans-serif"/>
                <w:color w:val="000000"/>
                <w:sz w:val="20"/>
                <w:lang w:val="nl-NL"/>
              </w:rPr>
              <w:t> </w:t>
            </w:r>
          </w:p>
        </w:tc>
      </w:tr>
      <w:tr>
        <w:trPr/>
        <w:tc>
          <w:tcPr>
            <w:tcW w:w="702" w:type="dxa"/>
            <w:tcBorders/>
            <w:vAlign w:val="center"/>
          </w:tcPr>
          <w:p>
            <w:pPr>
              <w:pStyle w:val="TableContents"/>
              <w:widowControl/>
              <w:pBdr/>
              <w:bidi w:val="0"/>
              <w:spacing w:lineRule="atLeast" w:line="225" w:before="120" w:after="120"/>
              <w:ind w:hanging="0" w:start="0" w:end="0"/>
              <w:jc w:val="end"/>
              <w:rPr>
                <w:rFonts w:ascii="Arial;sans-serif" w:hAnsi="Arial;sans-serif"/>
                <w:color w:val="000000"/>
                <w:sz w:val="20"/>
                <w:lang w:val="en-GB"/>
              </w:rPr>
            </w:pPr>
            <w:r>
              <w:rPr>
                <w:rFonts w:ascii="Arial;sans-serif" w:hAnsi="Arial;sans-serif"/>
                <w:color w:val="000000"/>
                <w:sz w:val="20"/>
                <w:lang w:val="en-GB"/>
              </w:rPr>
              <w:t>1</w:t>
            </w:r>
          </w:p>
        </w:tc>
        <w:tc>
          <w:tcPr>
            <w:tcW w:w="1405" w:type="dxa"/>
            <w:tcBorders/>
            <w:vAlign w:val="center"/>
          </w:tcPr>
          <w:p>
            <w:pPr>
              <w:pStyle w:val="TableContents"/>
              <w:widowControl/>
              <w:pBdr/>
              <w:bidi w:val="0"/>
              <w:spacing w:lineRule="atLeast" w:line="225" w:before="120" w:after="120"/>
              <w:ind w:hanging="0" w:start="0" w:end="0"/>
              <w:jc w:val="center"/>
              <w:rPr>
                <w:rFonts w:ascii="Arial;sans-serif" w:hAnsi="Arial;sans-serif"/>
                <w:color w:val="000000"/>
                <w:sz w:val="20"/>
                <w:lang w:val="en-GB"/>
              </w:rPr>
            </w:pPr>
            <w:r>
              <w:rPr>
                <w:rFonts w:ascii="Arial;sans-serif" w:hAnsi="Arial;sans-serif"/>
                <w:color w:val="000000"/>
                <w:sz w:val="20"/>
                <w:lang w:val="en-GB"/>
              </w:rPr>
              <w:t>Bảo đảm bằng tài sản của doanh nghiệp phát hành</w:t>
            </w:r>
          </w:p>
        </w:tc>
        <w:tc>
          <w:tcPr>
            <w:tcW w:w="1707" w:type="dxa"/>
            <w:tcBorders/>
            <w:vAlign w:val="center"/>
          </w:tcPr>
          <w:p>
            <w:pPr>
              <w:pStyle w:val="TableContents"/>
              <w:widowControl/>
              <w:pBdr/>
              <w:bidi w:val="0"/>
              <w:spacing w:lineRule="atLeast" w:line="225" w:before="120" w:after="120"/>
              <w:ind w:hanging="0" w:start="0" w:end="0"/>
              <w:jc w:val="center"/>
              <w:rPr>
                <w:rFonts w:ascii="Arial;sans-serif" w:hAnsi="Arial;sans-serif"/>
                <w:color w:val="000000"/>
                <w:sz w:val="20"/>
                <w:lang w:val="nl-NL"/>
              </w:rPr>
            </w:pPr>
            <w:r>
              <w:rPr>
                <w:rFonts w:ascii="Arial;sans-serif" w:hAnsi="Arial;sans-serif"/>
                <w:color w:val="000000"/>
                <w:sz w:val="20"/>
                <w:lang w:val="nl-NL"/>
              </w:rPr>
              <w:t> </w:t>
            </w:r>
          </w:p>
        </w:tc>
        <w:tc>
          <w:tcPr>
            <w:tcW w:w="1306" w:type="dxa"/>
            <w:tcBorders/>
            <w:vAlign w:val="center"/>
          </w:tcPr>
          <w:p>
            <w:pPr>
              <w:pStyle w:val="TableContents"/>
              <w:widowControl/>
              <w:pBdr/>
              <w:bidi w:val="0"/>
              <w:spacing w:lineRule="atLeast" w:line="225" w:before="120" w:after="120"/>
              <w:ind w:hanging="0" w:start="0" w:end="0"/>
              <w:jc w:val="center"/>
              <w:rPr>
                <w:rFonts w:ascii="Arial;sans-serif" w:hAnsi="Arial;sans-serif"/>
                <w:color w:val="000000"/>
                <w:sz w:val="20"/>
                <w:lang w:val="nl-NL"/>
              </w:rPr>
            </w:pPr>
            <w:r>
              <w:rPr>
                <w:rFonts w:ascii="Arial;sans-serif" w:hAnsi="Arial;sans-serif"/>
                <w:color w:val="000000"/>
                <w:sz w:val="20"/>
                <w:lang w:val="nl-NL"/>
              </w:rPr>
              <w:t> </w:t>
            </w:r>
          </w:p>
        </w:tc>
        <w:tc>
          <w:tcPr>
            <w:tcW w:w="1306" w:type="dxa"/>
            <w:tcBorders/>
            <w:vAlign w:val="center"/>
          </w:tcPr>
          <w:p>
            <w:pPr>
              <w:pStyle w:val="TableContents"/>
              <w:widowControl/>
              <w:pBdr/>
              <w:bidi w:val="0"/>
              <w:spacing w:lineRule="atLeast" w:line="225" w:before="120" w:after="120"/>
              <w:ind w:hanging="0" w:start="0" w:end="0"/>
              <w:jc w:val="center"/>
              <w:rPr>
                <w:rFonts w:ascii="Arial;sans-serif" w:hAnsi="Arial;sans-serif"/>
                <w:color w:val="000000"/>
                <w:sz w:val="20"/>
                <w:lang w:val="nl-NL"/>
              </w:rPr>
            </w:pPr>
            <w:r>
              <w:rPr>
                <w:rFonts w:ascii="Arial;sans-serif" w:hAnsi="Arial;sans-serif"/>
                <w:color w:val="000000"/>
                <w:sz w:val="20"/>
                <w:lang w:val="nl-NL"/>
              </w:rPr>
              <w:t> </w:t>
            </w:r>
          </w:p>
        </w:tc>
        <w:tc>
          <w:tcPr>
            <w:tcW w:w="1404" w:type="dxa"/>
            <w:tcBorders/>
            <w:vAlign w:val="center"/>
          </w:tcPr>
          <w:p>
            <w:pPr>
              <w:pStyle w:val="TableContents"/>
              <w:widowControl/>
              <w:pBdr/>
              <w:bidi w:val="0"/>
              <w:spacing w:lineRule="atLeast" w:line="225" w:before="120" w:after="120"/>
              <w:ind w:hanging="0" w:start="0" w:end="0"/>
              <w:jc w:val="center"/>
              <w:rPr>
                <w:rFonts w:ascii="Arial;sans-serif" w:hAnsi="Arial;sans-serif"/>
                <w:color w:val="000000"/>
                <w:sz w:val="20"/>
                <w:lang w:val="nl-NL"/>
              </w:rPr>
            </w:pPr>
            <w:r>
              <w:rPr>
                <w:rFonts w:ascii="Arial;sans-serif" w:hAnsi="Arial;sans-serif"/>
                <w:color w:val="000000"/>
                <w:sz w:val="20"/>
                <w:lang w:val="nl-NL"/>
              </w:rPr>
              <w:t> </w:t>
            </w:r>
          </w:p>
        </w:tc>
        <w:tc>
          <w:tcPr>
            <w:tcW w:w="1807" w:type="dxa"/>
            <w:tcBorders/>
            <w:vAlign w:val="center"/>
          </w:tcPr>
          <w:p>
            <w:pPr>
              <w:pStyle w:val="TableContents"/>
              <w:widowControl/>
              <w:pBdr/>
              <w:bidi w:val="0"/>
              <w:spacing w:lineRule="atLeast" w:line="225" w:before="120" w:after="120"/>
              <w:ind w:hanging="0" w:start="0" w:end="0"/>
              <w:jc w:val="center"/>
              <w:rPr>
                <w:rFonts w:ascii="Arial;sans-serif" w:hAnsi="Arial;sans-serif"/>
                <w:color w:val="000000"/>
                <w:sz w:val="20"/>
                <w:lang w:val="nl-NL"/>
              </w:rPr>
            </w:pPr>
            <w:r>
              <w:rPr>
                <w:rFonts w:ascii="Arial;sans-serif" w:hAnsi="Arial;sans-serif"/>
                <w:color w:val="000000"/>
                <w:sz w:val="20"/>
                <w:lang w:val="nl-NL"/>
              </w:rPr>
              <w:t> </w:t>
            </w:r>
          </w:p>
        </w:tc>
      </w:tr>
      <w:tr>
        <w:trPr/>
        <w:tc>
          <w:tcPr>
            <w:tcW w:w="702" w:type="dxa"/>
            <w:tcBorders/>
            <w:vAlign w:val="center"/>
          </w:tcPr>
          <w:p>
            <w:pPr>
              <w:pStyle w:val="TableContents"/>
              <w:widowControl/>
              <w:pBdr/>
              <w:bidi w:val="0"/>
              <w:spacing w:lineRule="atLeast" w:line="225" w:before="120" w:after="120"/>
              <w:ind w:hanging="0" w:start="0" w:end="0"/>
              <w:jc w:val="end"/>
              <w:rPr>
                <w:rFonts w:ascii="Arial;sans-serif" w:hAnsi="Arial;sans-serif"/>
                <w:color w:val="000000"/>
                <w:sz w:val="20"/>
                <w:lang w:val="en-GB"/>
              </w:rPr>
            </w:pPr>
            <w:r>
              <w:rPr>
                <w:rFonts w:ascii="Arial;sans-serif" w:hAnsi="Arial;sans-serif"/>
                <w:color w:val="000000"/>
                <w:sz w:val="20"/>
                <w:lang w:val="en-GB"/>
              </w:rPr>
              <w:t>2</w:t>
            </w:r>
          </w:p>
        </w:tc>
        <w:tc>
          <w:tcPr>
            <w:tcW w:w="1405" w:type="dxa"/>
            <w:tcBorders/>
            <w:vAlign w:val="center"/>
          </w:tcPr>
          <w:p>
            <w:pPr>
              <w:pStyle w:val="TableContents"/>
              <w:widowControl/>
              <w:pBdr/>
              <w:bidi w:val="0"/>
              <w:spacing w:lineRule="atLeast" w:line="225" w:before="120" w:after="120"/>
              <w:ind w:hanging="0" w:start="0" w:end="0"/>
              <w:jc w:val="center"/>
              <w:rPr>
                <w:rFonts w:ascii="Arial;sans-serif" w:hAnsi="Arial;sans-serif"/>
                <w:color w:val="000000"/>
                <w:sz w:val="20"/>
                <w:lang w:val="en-GB"/>
              </w:rPr>
            </w:pPr>
            <w:r>
              <w:rPr>
                <w:rFonts w:ascii="Arial;sans-serif" w:hAnsi="Arial;sans-serif"/>
                <w:color w:val="000000"/>
                <w:sz w:val="20"/>
                <w:lang w:val="en-GB"/>
              </w:rPr>
              <w:t>Bảo đảm bằng tài sản của bên thứ ba theo quy định của pháp luật về bảo đảm thực hiện nghĩa vụ</w:t>
            </w:r>
          </w:p>
        </w:tc>
        <w:tc>
          <w:tcPr>
            <w:tcW w:w="1707" w:type="dxa"/>
            <w:tcBorders/>
            <w:vAlign w:val="center"/>
          </w:tcPr>
          <w:p>
            <w:pPr>
              <w:pStyle w:val="TableContents"/>
              <w:widowControl/>
              <w:pBdr/>
              <w:bidi w:val="0"/>
              <w:spacing w:lineRule="atLeast" w:line="225" w:before="120" w:after="120"/>
              <w:ind w:hanging="0" w:start="0" w:end="0"/>
              <w:jc w:val="center"/>
              <w:rPr>
                <w:rFonts w:ascii="Arial;sans-serif" w:hAnsi="Arial;sans-serif"/>
                <w:color w:val="000000"/>
                <w:sz w:val="20"/>
                <w:lang w:val="nl-NL"/>
              </w:rPr>
            </w:pPr>
            <w:r>
              <w:rPr>
                <w:rFonts w:ascii="Arial;sans-serif" w:hAnsi="Arial;sans-serif"/>
                <w:color w:val="000000"/>
                <w:sz w:val="20"/>
                <w:lang w:val="nl-NL"/>
              </w:rPr>
              <w:t> </w:t>
            </w:r>
          </w:p>
        </w:tc>
        <w:tc>
          <w:tcPr>
            <w:tcW w:w="1306" w:type="dxa"/>
            <w:tcBorders/>
            <w:vAlign w:val="center"/>
          </w:tcPr>
          <w:p>
            <w:pPr>
              <w:pStyle w:val="TableContents"/>
              <w:widowControl/>
              <w:pBdr/>
              <w:bidi w:val="0"/>
              <w:spacing w:lineRule="atLeast" w:line="225" w:before="120" w:after="120"/>
              <w:ind w:hanging="0" w:start="0" w:end="0"/>
              <w:jc w:val="center"/>
              <w:rPr>
                <w:rFonts w:ascii="Arial;sans-serif" w:hAnsi="Arial;sans-serif"/>
                <w:color w:val="000000"/>
                <w:sz w:val="20"/>
                <w:lang w:val="nl-NL"/>
              </w:rPr>
            </w:pPr>
            <w:r>
              <w:rPr>
                <w:rFonts w:ascii="Arial;sans-serif" w:hAnsi="Arial;sans-serif"/>
                <w:color w:val="000000"/>
                <w:sz w:val="20"/>
                <w:lang w:val="nl-NL"/>
              </w:rPr>
              <w:t> </w:t>
            </w:r>
          </w:p>
        </w:tc>
        <w:tc>
          <w:tcPr>
            <w:tcW w:w="1306" w:type="dxa"/>
            <w:tcBorders/>
            <w:vAlign w:val="center"/>
          </w:tcPr>
          <w:p>
            <w:pPr>
              <w:pStyle w:val="TableContents"/>
              <w:widowControl/>
              <w:pBdr/>
              <w:bidi w:val="0"/>
              <w:spacing w:lineRule="atLeast" w:line="225" w:before="120" w:after="120"/>
              <w:ind w:hanging="0" w:start="0" w:end="0"/>
              <w:jc w:val="center"/>
              <w:rPr>
                <w:rFonts w:ascii="Arial;sans-serif" w:hAnsi="Arial;sans-serif"/>
                <w:color w:val="000000"/>
                <w:sz w:val="20"/>
                <w:lang w:val="nl-NL"/>
              </w:rPr>
            </w:pPr>
            <w:r>
              <w:rPr>
                <w:rFonts w:ascii="Arial;sans-serif" w:hAnsi="Arial;sans-serif"/>
                <w:color w:val="000000"/>
                <w:sz w:val="20"/>
                <w:lang w:val="nl-NL"/>
              </w:rPr>
              <w:t> </w:t>
            </w:r>
          </w:p>
        </w:tc>
        <w:tc>
          <w:tcPr>
            <w:tcW w:w="1404" w:type="dxa"/>
            <w:tcBorders/>
            <w:vAlign w:val="center"/>
          </w:tcPr>
          <w:p>
            <w:pPr>
              <w:pStyle w:val="TableContents"/>
              <w:widowControl/>
              <w:pBdr/>
              <w:bidi w:val="0"/>
              <w:spacing w:lineRule="atLeast" w:line="225" w:before="120" w:after="120"/>
              <w:ind w:hanging="0" w:start="0" w:end="0"/>
              <w:jc w:val="center"/>
              <w:rPr>
                <w:rFonts w:ascii="Arial;sans-serif" w:hAnsi="Arial;sans-serif"/>
                <w:color w:val="000000"/>
                <w:sz w:val="20"/>
                <w:lang w:val="nl-NL"/>
              </w:rPr>
            </w:pPr>
            <w:r>
              <w:rPr>
                <w:rFonts w:ascii="Arial;sans-serif" w:hAnsi="Arial;sans-serif"/>
                <w:color w:val="000000"/>
                <w:sz w:val="20"/>
                <w:lang w:val="nl-NL"/>
              </w:rPr>
              <w:t> </w:t>
            </w:r>
          </w:p>
        </w:tc>
        <w:tc>
          <w:tcPr>
            <w:tcW w:w="1807" w:type="dxa"/>
            <w:tcBorders/>
            <w:vAlign w:val="center"/>
          </w:tcPr>
          <w:p>
            <w:pPr>
              <w:pStyle w:val="TableContents"/>
              <w:widowControl/>
              <w:pBdr/>
              <w:bidi w:val="0"/>
              <w:spacing w:lineRule="atLeast" w:line="225" w:before="120" w:after="120"/>
              <w:ind w:hanging="0" w:start="0" w:end="0"/>
              <w:jc w:val="center"/>
              <w:rPr>
                <w:rFonts w:ascii="Arial;sans-serif" w:hAnsi="Arial;sans-serif"/>
                <w:color w:val="000000"/>
                <w:sz w:val="20"/>
                <w:lang w:val="nl-NL"/>
              </w:rPr>
            </w:pPr>
            <w:r>
              <w:rPr>
                <w:rFonts w:ascii="Arial;sans-serif" w:hAnsi="Arial;sans-serif"/>
                <w:color w:val="000000"/>
                <w:sz w:val="20"/>
                <w:lang w:val="nl-NL"/>
              </w:rPr>
              <w:t> </w:t>
            </w:r>
          </w:p>
        </w:tc>
      </w:tr>
      <w:tr>
        <w:trPr/>
        <w:tc>
          <w:tcPr>
            <w:tcW w:w="702" w:type="dxa"/>
            <w:tcBorders/>
            <w:vAlign w:val="center"/>
          </w:tcPr>
          <w:p>
            <w:pPr>
              <w:pStyle w:val="TableContents"/>
              <w:widowControl/>
              <w:pBdr/>
              <w:bidi w:val="0"/>
              <w:spacing w:lineRule="atLeast" w:line="225" w:before="120" w:after="120"/>
              <w:ind w:hanging="0" w:start="0" w:end="0"/>
              <w:jc w:val="center"/>
              <w:rPr>
                <w:rFonts w:ascii="Arial;sans-serif" w:hAnsi="Arial;sans-serif"/>
                <w:color w:val="000000"/>
                <w:sz w:val="20"/>
                <w:lang w:val="nl-NL"/>
              </w:rPr>
            </w:pPr>
            <w:r>
              <w:rPr>
                <w:rFonts w:ascii="Arial;sans-serif" w:hAnsi="Arial;sans-serif"/>
                <w:color w:val="000000"/>
                <w:sz w:val="20"/>
                <w:lang w:val="nl-NL"/>
              </w:rPr>
              <w:t> </w:t>
            </w:r>
          </w:p>
        </w:tc>
        <w:tc>
          <w:tcPr>
            <w:tcW w:w="1405" w:type="dxa"/>
            <w:tcBorders/>
            <w:vAlign w:val="center"/>
          </w:tcPr>
          <w:p>
            <w:pPr>
              <w:pStyle w:val="TableContents"/>
              <w:widowControl/>
              <w:pBdr/>
              <w:bidi w:val="0"/>
              <w:spacing w:lineRule="atLeast" w:line="225" w:before="120" w:after="120"/>
              <w:ind w:hanging="0" w:start="0" w:end="0"/>
              <w:jc w:val="center"/>
              <w:rPr>
                <w:rFonts w:ascii="Arial;sans-serif" w:hAnsi="Arial;sans-serif"/>
                <w:b/>
                <w:color w:val="000000"/>
                <w:sz w:val="20"/>
                <w:lang w:val="en-GB"/>
              </w:rPr>
            </w:pPr>
            <w:r>
              <w:rPr>
                <w:rFonts w:ascii="Arial;sans-serif" w:hAnsi="Arial;sans-serif"/>
                <w:b/>
                <w:color w:val="000000"/>
                <w:sz w:val="20"/>
                <w:lang w:val="en-GB"/>
              </w:rPr>
              <w:t>Bảo lãnh thanh toán</w:t>
            </w:r>
          </w:p>
        </w:tc>
        <w:tc>
          <w:tcPr>
            <w:tcW w:w="1707" w:type="dxa"/>
            <w:tcBorders/>
            <w:vAlign w:val="center"/>
          </w:tcPr>
          <w:p>
            <w:pPr>
              <w:pStyle w:val="TableContents"/>
              <w:widowControl/>
              <w:pBdr/>
              <w:bidi w:val="0"/>
              <w:spacing w:lineRule="atLeast" w:line="225" w:before="120" w:after="120"/>
              <w:ind w:hanging="0" w:start="0" w:end="0"/>
              <w:jc w:val="center"/>
              <w:rPr>
                <w:rFonts w:ascii="Arial;sans-serif" w:hAnsi="Arial;sans-serif"/>
                <w:color w:val="000000"/>
                <w:sz w:val="20"/>
                <w:lang w:val="nl-NL"/>
              </w:rPr>
            </w:pPr>
            <w:r>
              <w:rPr>
                <w:rFonts w:ascii="Arial;sans-serif" w:hAnsi="Arial;sans-serif"/>
                <w:color w:val="000000"/>
                <w:sz w:val="20"/>
                <w:lang w:val="nl-NL"/>
              </w:rPr>
              <w:t> </w:t>
            </w:r>
          </w:p>
        </w:tc>
        <w:tc>
          <w:tcPr>
            <w:tcW w:w="1306" w:type="dxa"/>
            <w:tcBorders/>
            <w:vAlign w:val="center"/>
          </w:tcPr>
          <w:p>
            <w:pPr>
              <w:pStyle w:val="TableContents"/>
              <w:widowControl/>
              <w:pBdr/>
              <w:bidi w:val="0"/>
              <w:spacing w:lineRule="atLeast" w:line="225" w:before="120" w:after="120"/>
              <w:ind w:hanging="0" w:start="0" w:end="0"/>
              <w:jc w:val="center"/>
              <w:rPr>
                <w:rFonts w:ascii="Arial;sans-serif" w:hAnsi="Arial;sans-serif"/>
                <w:color w:val="000000"/>
                <w:sz w:val="20"/>
                <w:lang w:val="nl-NL"/>
              </w:rPr>
            </w:pPr>
            <w:r>
              <w:rPr>
                <w:rFonts w:ascii="Arial;sans-serif" w:hAnsi="Arial;sans-serif"/>
                <w:color w:val="000000"/>
                <w:sz w:val="20"/>
                <w:lang w:val="nl-NL"/>
              </w:rPr>
              <w:t> </w:t>
            </w:r>
          </w:p>
        </w:tc>
        <w:tc>
          <w:tcPr>
            <w:tcW w:w="1306" w:type="dxa"/>
            <w:tcBorders/>
            <w:vAlign w:val="center"/>
          </w:tcPr>
          <w:p>
            <w:pPr>
              <w:pStyle w:val="TableContents"/>
              <w:widowControl/>
              <w:pBdr/>
              <w:bidi w:val="0"/>
              <w:spacing w:lineRule="atLeast" w:line="225" w:before="120" w:after="120"/>
              <w:ind w:hanging="0" w:start="0" w:end="0"/>
              <w:jc w:val="center"/>
              <w:rPr>
                <w:rFonts w:ascii="Arial;sans-serif" w:hAnsi="Arial;sans-serif"/>
                <w:color w:val="000000"/>
                <w:sz w:val="20"/>
                <w:lang w:val="nl-NL"/>
              </w:rPr>
            </w:pPr>
            <w:r>
              <w:rPr>
                <w:rFonts w:ascii="Arial;sans-serif" w:hAnsi="Arial;sans-serif"/>
                <w:color w:val="000000"/>
                <w:sz w:val="20"/>
                <w:lang w:val="nl-NL"/>
              </w:rPr>
              <w:t> </w:t>
            </w:r>
          </w:p>
        </w:tc>
        <w:tc>
          <w:tcPr>
            <w:tcW w:w="1404" w:type="dxa"/>
            <w:tcBorders/>
            <w:vAlign w:val="center"/>
          </w:tcPr>
          <w:p>
            <w:pPr>
              <w:pStyle w:val="TableContents"/>
              <w:widowControl/>
              <w:pBdr/>
              <w:bidi w:val="0"/>
              <w:spacing w:lineRule="atLeast" w:line="225" w:before="120" w:after="120"/>
              <w:ind w:hanging="0" w:start="0" w:end="0"/>
              <w:jc w:val="center"/>
              <w:rPr>
                <w:rFonts w:ascii="Arial;sans-serif" w:hAnsi="Arial;sans-serif"/>
                <w:color w:val="000000"/>
                <w:sz w:val="20"/>
                <w:lang w:val="nl-NL"/>
              </w:rPr>
            </w:pPr>
            <w:r>
              <w:rPr>
                <w:rFonts w:ascii="Arial;sans-serif" w:hAnsi="Arial;sans-serif"/>
                <w:color w:val="000000"/>
                <w:sz w:val="20"/>
                <w:lang w:val="nl-NL"/>
              </w:rPr>
              <w:t> </w:t>
            </w:r>
          </w:p>
        </w:tc>
        <w:tc>
          <w:tcPr>
            <w:tcW w:w="1807" w:type="dxa"/>
            <w:tcBorders/>
            <w:vAlign w:val="center"/>
          </w:tcPr>
          <w:p>
            <w:pPr>
              <w:pStyle w:val="TableContents"/>
              <w:widowControl/>
              <w:pBdr/>
              <w:bidi w:val="0"/>
              <w:spacing w:lineRule="atLeast" w:line="225" w:before="120" w:after="120"/>
              <w:ind w:hanging="0" w:start="0" w:end="0"/>
              <w:jc w:val="center"/>
              <w:rPr>
                <w:rFonts w:ascii="Arial;sans-serif" w:hAnsi="Arial;sans-serif"/>
                <w:color w:val="000000"/>
                <w:sz w:val="20"/>
                <w:lang w:val="nl-NL"/>
              </w:rPr>
            </w:pPr>
            <w:r>
              <w:rPr>
                <w:rFonts w:ascii="Arial;sans-serif" w:hAnsi="Arial;sans-serif"/>
                <w:color w:val="000000"/>
                <w:sz w:val="20"/>
                <w:lang w:val="nl-NL"/>
              </w:rPr>
              <w:t> </w:t>
            </w:r>
          </w:p>
        </w:tc>
      </w:tr>
      <w:tr>
        <w:trPr/>
        <w:tc>
          <w:tcPr>
            <w:tcW w:w="702" w:type="dxa"/>
            <w:tcBorders/>
            <w:vAlign w:val="center"/>
          </w:tcPr>
          <w:p>
            <w:pPr>
              <w:pStyle w:val="TableContents"/>
              <w:widowControl/>
              <w:pBdr/>
              <w:bidi w:val="0"/>
              <w:spacing w:lineRule="atLeast" w:line="225" w:before="120" w:after="120"/>
              <w:ind w:hanging="0" w:start="0" w:end="0"/>
              <w:jc w:val="end"/>
              <w:rPr>
                <w:rFonts w:ascii="Arial;sans-serif" w:hAnsi="Arial;sans-serif"/>
                <w:color w:val="000000"/>
                <w:sz w:val="20"/>
                <w:lang w:val="en-GB"/>
              </w:rPr>
            </w:pPr>
            <w:r>
              <w:rPr>
                <w:rFonts w:ascii="Arial;sans-serif" w:hAnsi="Arial;sans-serif"/>
                <w:color w:val="000000"/>
                <w:sz w:val="20"/>
                <w:lang w:val="en-GB"/>
              </w:rPr>
              <w:t>3</w:t>
            </w:r>
          </w:p>
        </w:tc>
        <w:tc>
          <w:tcPr>
            <w:tcW w:w="1405" w:type="dxa"/>
            <w:tcBorders/>
            <w:vAlign w:val="center"/>
          </w:tcPr>
          <w:p>
            <w:pPr>
              <w:pStyle w:val="TableContents"/>
              <w:widowControl/>
              <w:pBdr/>
              <w:bidi w:val="0"/>
              <w:spacing w:lineRule="atLeast" w:line="225" w:before="120" w:after="120"/>
              <w:ind w:hanging="0" w:start="0" w:end="0"/>
              <w:jc w:val="center"/>
              <w:rPr>
                <w:rFonts w:ascii="Arial;sans-serif" w:hAnsi="Arial;sans-serif"/>
                <w:color w:val="000000"/>
                <w:sz w:val="20"/>
                <w:lang w:val="en-GB"/>
              </w:rPr>
            </w:pPr>
            <w:r>
              <w:rPr>
                <w:rFonts w:ascii="Arial;sans-serif" w:hAnsi="Arial;sans-serif"/>
                <w:color w:val="000000"/>
                <w:sz w:val="20"/>
                <w:lang w:val="en-GB"/>
              </w:rPr>
              <w:t>Bảo lãnh thanh toán của tổ chức tín dụng, chi nhánh ngân hàng nước ngoài</w:t>
            </w:r>
          </w:p>
        </w:tc>
        <w:tc>
          <w:tcPr>
            <w:tcW w:w="1707" w:type="dxa"/>
            <w:tcBorders/>
            <w:vAlign w:val="center"/>
          </w:tcPr>
          <w:p>
            <w:pPr>
              <w:pStyle w:val="TableContents"/>
              <w:widowControl/>
              <w:pBdr/>
              <w:bidi w:val="0"/>
              <w:spacing w:lineRule="atLeast" w:line="225" w:before="120" w:after="120"/>
              <w:ind w:hanging="0" w:start="0" w:end="0"/>
              <w:jc w:val="center"/>
              <w:rPr>
                <w:rFonts w:ascii="Arial;sans-serif" w:hAnsi="Arial;sans-serif"/>
                <w:color w:val="000000"/>
                <w:sz w:val="20"/>
                <w:lang w:val="nl-NL"/>
              </w:rPr>
            </w:pPr>
            <w:r>
              <w:rPr>
                <w:rFonts w:ascii="Arial;sans-serif" w:hAnsi="Arial;sans-serif"/>
                <w:color w:val="000000"/>
                <w:sz w:val="20"/>
                <w:lang w:val="nl-NL"/>
              </w:rPr>
              <w:t> </w:t>
            </w:r>
          </w:p>
        </w:tc>
        <w:tc>
          <w:tcPr>
            <w:tcW w:w="1306" w:type="dxa"/>
            <w:tcBorders/>
            <w:vAlign w:val="center"/>
          </w:tcPr>
          <w:p>
            <w:pPr>
              <w:pStyle w:val="TableContents"/>
              <w:widowControl/>
              <w:pBdr/>
              <w:bidi w:val="0"/>
              <w:spacing w:lineRule="atLeast" w:line="225" w:before="120" w:after="120"/>
              <w:ind w:hanging="0" w:start="0" w:end="0"/>
              <w:jc w:val="center"/>
              <w:rPr>
                <w:rFonts w:ascii="Arial;sans-serif" w:hAnsi="Arial;sans-serif"/>
                <w:color w:val="000000"/>
                <w:sz w:val="20"/>
                <w:lang w:val="nl-NL"/>
              </w:rPr>
            </w:pPr>
            <w:r>
              <w:rPr>
                <w:rFonts w:ascii="Arial;sans-serif" w:hAnsi="Arial;sans-serif"/>
                <w:color w:val="000000"/>
                <w:sz w:val="20"/>
                <w:lang w:val="nl-NL"/>
              </w:rPr>
              <w:t> </w:t>
            </w:r>
          </w:p>
        </w:tc>
        <w:tc>
          <w:tcPr>
            <w:tcW w:w="1306" w:type="dxa"/>
            <w:tcBorders/>
            <w:vAlign w:val="center"/>
          </w:tcPr>
          <w:p>
            <w:pPr>
              <w:pStyle w:val="TableContents"/>
              <w:widowControl/>
              <w:pBdr/>
              <w:bidi w:val="0"/>
              <w:spacing w:lineRule="atLeast" w:line="225" w:before="120" w:after="120"/>
              <w:ind w:hanging="0" w:start="0" w:end="0"/>
              <w:jc w:val="center"/>
              <w:rPr>
                <w:rFonts w:ascii="Arial;sans-serif" w:hAnsi="Arial;sans-serif"/>
                <w:color w:val="000000"/>
                <w:sz w:val="20"/>
                <w:lang w:val="nl-NL"/>
              </w:rPr>
            </w:pPr>
            <w:r>
              <w:rPr>
                <w:rFonts w:ascii="Arial;sans-serif" w:hAnsi="Arial;sans-serif"/>
                <w:color w:val="000000"/>
                <w:sz w:val="20"/>
                <w:lang w:val="nl-NL"/>
              </w:rPr>
              <w:t> </w:t>
            </w:r>
          </w:p>
        </w:tc>
        <w:tc>
          <w:tcPr>
            <w:tcW w:w="1404" w:type="dxa"/>
            <w:tcBorders/>
            <w:vAlign w:val="center"/>
          </w:tcPr>
          <w:p>
            <w:pPr>
              <w:pStyle w:val="TableContents"/>
              <w:widowControl/>
              <w:pBdr/>
              <w:bidi w:val="0"/>
              <w:spacing w:lineRule="atLeast" w:line="225" w:before="120" w:after="120"/>
              <w:ind w:hanging="0" w:start="0" w:end="0"/>
              <w:jc w:val="center"/>
              <w:rPr>
                <w:rFonts w:ascii="Arial;sans-serif" w:hAnsi="Arial;sans-serif"/>
                <w:color w:val="000000"/>
                <w:sz w:val="20"/>
                <w:lang w:val="nl-NL"/>
              </w:rPr>
            </w:pPr>
            <w:r>
              <w:rPr>
                <w:rFonts w:ascii="Arial;sans-serif" w:hAnsi="Arial;sans-serif"/>
                <w:color w:val="000000"/>
                <w:sz w:val="20"/>
                <w:lang w:val="nl-NL"/>
              </w:rPr>
              <w:t> </w:t>
            </w:r>
          </w:p>
        </w:tc>
        <w:tc>
          <w:tcPr>
            <w:tcW w:w="1807" w:type="dxa"/>
            <w:tcBorders/>
            <w:vAlign w:val="center"/>
          </w:tcPr>
          <w:p>
            <w:pPr>
              <w:pStyle w:val="TableContents"/>
              <w:widowControl/>
              <w:pBdr/>
              <w:bidi w:val="0"/>
              <w:spacing w:lineRule="atLeast" w:line="225" w:before="120" w:after="120"/>
              <w:ind w:hanging="0" w:start="0" w:end="0"/>
              <w:jc w:val="center"/>
              <w:rPr>
                <w:rFonts w:ascii="Arial;sans-serif" w:hAnsi="Arial;sans-serif"/>
                <w:color w:val="000000"/>
                <w:sz w:val="20"/>
                <w:lang w:val="nl-NL"/>
              </w:rPr>
            </w:pPr>
            <w:r>
              <w:rPr>
                <w:rFonts w:ascii="Arial;sans-serif" w:hAnsi="Arial;sans-serif"/>
                <w:color w:val="000000"/>
                <w:sz w:val="20"/>
                <w:lang w:val="nl-NL"/>
              </w:rPr>
              <w:t> </w:t>
            </w:r>
          </w:p>
        </w:tc>
      </w:tr>
      <w:tr>
        <w:trPr/>
        <w:tc>
          <w:tcPr>
            <w:tcW w:w="702" w:type="dxa"/>
            <w:tcBorders/>
            <w:vAlign w:val="center"/>
          </w:tcPr>
          <w:p>
            <w:pPr>
              <w:pStyle w:val="TableContents"/>
              <w:widowControl/>
              <w:pBdr/>
              <w:bidi w:val="0"/>
              <w:spacing w:lineRule="atLeast" w:line="225" w:before="120" w:after="120"/>
              <w:ind w:hanging="0" w:start="0" w:end="0"/>
              <w:jc w:val="end"/>
              <w:rPr>
                <w:rFonts w:ascii="Arial;sans-serif" w:hAnsi="Arial;sans-serif"/>
                <w:color w:val="000000"/>
                <w:sz w:val="20"/>
                <w:lang w:val="en-GB"/>
              </w:rPr>
            </w:pPr>
            <w:r>
              <w:rPr>
                <w:rFonts w:ascii="Arial;sans-serif" w:hAnsi="Arial;sans-serif"/>
                <w:color w:val="000000"/>
                <w:sz w:val="20"/>
                <w:lang w:val="en-GB"/>
              </w:rPr>
              <w:t>4</w:t>
            </w:r>
          </w:p>
        </w:tc>
        <w:tc>
          <w:tcPr>
            <w:tcW w:w="1405" w:type="dxa"/>
            <w:tcBorders/>
            <w:vAlign w:val="center"/>
          </w:tcPr>
          <w:p>
            <w:pPr>
              <w:pStyle w:val="TableContents"/>
              <w:widowControl/>
              <w:pBdr/>
              <w:bidi w:val="0"/>
              <w:spacing w:lineRule="atLeast" w:line="225" w:before="120" w:after="120"/>
              <w:ind w:hanging="0" w:start="0" w:end="0"/>
              <w:jc w:val="center"/>
              <w:rPr>
                <w:rFonts w:ascii="Arial;sans-serif" w:hAnsi="Arial;sans-serif"/>
                <w:color w:val="000000"/>
                <w:sz w:val="20"/>
                <w:lang w:val="en-GB"/>
              </w:rPr>
            </w:pPr>
            <w:r>
              <w:rPr>
                <w:rFonts w:ascii="Arial;sans-serif" w:hAnsi="Arial;sans-serif"/>
                <w:color w:val="000000"/>
                <w:sz w:val="20"/>
                <w:lang w:val="en-GB"/>
              </w:rPr>
              <w:t>Bảo lãnh thanh toán của tổ chức tài chính ở nước ngoài, tổ chức tài chính quốc tế theo quy định của pháp luật</w:t>
            </w:r>
          </w:p>
        </w:tc>
        <w:tc>
          <w:tcPr>
            <w:tcW w:w="1707" w:type="dxa"/>
            <w:tcBorders/>
            <w:vAlign w:val="center"/>
          </w:tcPr>
          <w:p>
            <w:pPr>
              <w:pStyle w:val="TableContents"/>
              <w:widowControl/>
              <w:pBdr/>
              <w:bidi w:val="0"/>
              <w:spacing w:lineRule="atLeast" w:line="225" w:before="120" w:after="120"/>
              <w:ind w:hanging="0" w:start="0" w:end="0"/>
              <w:jc w:val="center"/>
              <w:rPr>
                <w:rFonts w:ascii="Arial;sans-serif" w:hAnsi="Arial;sans-serif"/>
                <w:color w:val="000000"/>
                <w:sz w:val="20"/>
                <w:lang w:val="nl-NL"/>
              </w:rPr>
            </w:pPr>
            <w:r>
              <w:rPr>
                <w:rFonts w:ascii="Arial;sans-serif" w:hAnsi="Arial;sans-serif"/>
                <w:color w:val="000000"/>
                <w:sz w:val="20"/>
                <w:lang w:val="nl-NL"/>
              </w:rPr>
              <w:t> </w:t>
            </w:r>
          </w:p>
        </w:tc>
        <w:tc>
          <w:tcPr>
            <w:tcW w:w="1306" w:type="dxa"/>
            <w:tcBorders/>
            <w:vAlign w:val="center"/>
          </w:tcPr>
          <w:p>
            <w:pPr>
              <w:pStyle w:val="TableContents"/>
              <w:widowControl/>
              <w:pBdr/>
              <w:bidi w:val="0"/>
              <w:spacing w:lineRule="atLeast" w:line="225" w:before="120" w:after="120"/>
              <w:ind w:hanging="0" w:start="0" w:end="0"/>
              <w:jc w:val="center"/>
              <w:rPr>
                <w:rFonts w:ascii="Arial;sans-serif" w:hAnsi="Arial;sans-serif"/>
                <w:color w:val="000000"/>
                <w:sz w:val="20"/>
                <w:lang w:val="nl-NL"/>
              </w:rPr>
            </w:pPr>
            <w:r>
              <w:rPr>
                <w:rFonts w:ascii="Arial;sans-serif" w:hAnsi="Arial;sans-serif"/>
                <w:color w:val="000000"/>
                <w:sz w:val="20"/>
                <w:lang w:val="nl-NL"/>
              </w:rPr>
              <w:t> </w:t>
            </w:r>
          </w:p>
        </w:tc>
        <w:tc>
          <w:tcPr>
            <w:tcW w:w="1306" w:type="dxa"/>
            <w:tcBorders/>
            <w:vAlign w:val="center"/>
          </w:tcPr>
          <w:p>
            <w:pPr>
              <w:pStyle w:val="TableContents"/>
              <w:widowControl/>
              <w:pBdr/>
              <w:bidi w:val="0"/>
              <w:spacing w:lineRule="atLeast" w:line="225" w:before="120" w:after="120"/>
              <w:ind w:hanging="0" w:start="0" w:end="0"/>
              <w:jc w:val="center"/>
              <w:rPr>
                <w:rFonts w:ascii="Arial;sans-serif" w:hAnsi="Arial;sans-serif"/>
                <w:color w:val="000000"/>
                <w:sz w:val="20"/>
                <w:lang w:val="nl-NL"/>
              </w:rPr>
            </w:pPr>
            <w:r>
              <w:rPr>
                <w:rFonts w:ascii="Arial;sans-serif" w:hAnsi="Arial;sans-serif"/>
                <w:color w:val="000000"/>
                <w:sz w:val="20"/>
                <w:lang w:val="nl-NL"/>
              </w:rPr>
              <w:t> </w:t>
            </w:r>
          </w:p>
        </w:tc>
        <w:tc>
          <w:tcPr>
            <w:tcW w:w="1404" w:type="dxa"/>
            <w:tcBorders/>
            <w:vAlign w:val="center"/>
          </w:tcPr>
          <w:p>
            <w:pPr>
              <w:pStyle w:val="TableContents"/>
              <w:widowControl/>
              <w:pBdr/>
              <w:bidi w:val="0"/>
              <w:spacing w:lineRule="atLeast" w:line="225" w:before="120" w:after="120"/>
              <w:ind w:hanging="0" w:start="0" w:end="0"/>
              <w:jc w:val="center"/>
              <w:rPr>
                <w:rFonts w:ascii="Arial;sans-serif" w:hAnsi="Arial;sans-serif"/>
                <w:color w:val="000000"/>
                <w:sz w:val="20"/>
                <w:lang w:val="nl-NL"/>
              </w:rPr>
            </w:pPr>
            <w:r>
              <w:rPr>
                <w:rFonts w:ascii="Arial;sans-serif" w:hAnsi="Arial;sans-serif"/>
                <w:color w:val="000000"/>
                <w:sz w:val="20"/>
                <w:lang w:val="nl-NL"/>
              </w:rPr>
              <w:t> </w:t>
            </w:r>
          </w:p>
        </w:tc>
        <w:tc>
          <w:tcPr>
            <w:tcW w:w="1807" w:type="dxa"/>
            <w:tcBorders/>
            <w:vAlign w:val="center"/>
          </w:tcPr>
          <w:p>
            <w:pPr>
              <w:pStyle w:val="TableContents"/>
              <w:widowControl/>
              <w:pBdr/>
              <w:bidi w:val="0"/>
              <w:spacing w:lineRule="atLeast" w:line="225" w:before="120" w:after="120"/>
              <w:ind w:hanging="0" w:start="0" w:end="0"/>
              <w:jc w:val="center"/>
              <w:rPr>
                <w:rFonts w:ascii="Arial;sans-serif" w:hAnsi="Arial;sans-serif"/>
                <w:color w:val="000000"/>
                <w:sz w:val="20"/>
                <w:lang w:val="nl-NL"/>
              </w:rPr>
            </w:pPr>
            <w:r>
              <w:rPr>
                <w:rFonts w:ascii="Arial;sans-serif" w:hAnsi="Arial;sans-serif"/>
                <w:color w:val="000000"/>
                <w:sz w:val="20"/>
                <w:lang w:val="nl-NL"/>
              </w:rPr>
              <w:t> </w:t>
            </w:r>
          </w:p>
        </w:tc>
      </w:tr>
    </w:tbl>
    <w:p>
      <w:pPr>
        <w:pStyle w:val="BodyText"/>
        <w:widowControl/>
        <w:pBdr/>
        <w:bidi w:val="0"/>
        <w:spacing w:lineRule="atLeast" w:line="225" w:before="120" w:after="120"/>
        <w:ind w:hanging="0" w:start="0" w:end="0"/>
        <w:jc w:val="start"/>
        <w:rPr>
          <w:rFonts w:ascii="Arial;sans-serif" w:hAnsi="Arial;sans-serif"/>
          <w:b w:val="false"/>
          <w:i/>
          <w:caps w:val="false"/>
          <w:smallCaps w:val="false"/>
          <w:color w:val="000000"/>
          <w:spacing w:val="0"/>
          <w:sz w:val="20"/>
          <w:lang w:val="en-GB"/>
        </w:rPr>
      </w:pPr>
      <w:r>
        <w:rPr>
          <w:rFonts w:ascii="Arial;sans-serif" w:hAnsi="Arial;sans-serif"/>
          <w:b w:val="false"/>
          <w:i/>
          <w:caps w:val="false"/>
          <w:smallCaps w:val="false"/>
          <w:color w:val="000000"/>
          <w:spacing w:val="0"/>
          <w:sz w:val="20"/>
          <w:lang w:val="en-GB"/>
        </w:rPr>
        <w:t>(*) Trường hợp có nhiều tài sản bảo đảm/hợp đồng bảo lãnh thanh toán, đề nghị tách các dòng riêng biệt</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12. Mua lại trái phiếu trước hạn, hoán đổi trái phiếu (</w:t>
      </w:r>
      <w:r>
        <w:rPr>
          <w:rFonts w:ascii="Arial;sans-serif" w:hAnsi="Arial;sans-serif"/>
          <w:b w:val="false"/>
          <w:i/>
          <w:caps w:val="false"/>
          <w:smallCaps w:val="false"/>
          <w:color w:val="000000"/>
          <w:spacing w:val="0"/>
          <w:sz w:val="20"/>
          <w:lang w:val="en-GB"/>
        </w:rPr>
        <w:t>nêu rõ phương án mua lại hoặc hoán đổi</w:t>
      </w:r>
      <w:r>
        <w:rPr>
          <w:rFonts w:ascii="Arial;sans-serif" w:hAnsi="Arial;sans-serif"/>
          <w:b w:val="false"/>
          <w:i w:val="false"/>
          <w:caps w:val="false"/>
          <w:smallCaps w:val="false"/>
          <w:color w:val="000000"/>
          <w:spacing w:val="0"/>
          <w:sz w:val="20"/>
          <w:lang w:val="en-GB"/>
        </w:rPr>
        <w:t>).</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13. Tiêu chí lựa chọn nhà đầu tư chiến lược đối với phát hành trái phiếu chuyển đổi và phát hành trái phiếu kèm chứng quyền.</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14. Kết quả xếp hạng tín nhiệm trong trường hợp bắt buộc phải xếp hạng tín nhiệm theo quy định của pháp luật; hoặc kết quả xếp hạng tín nhiệm (nếu có) trong trường hợp không bắt buộc phải xếp hạng tín nhiệm.</w:t>
      </w:r>
    </w:p>
    <w:tbl>
      <w:tblPr>
        <w:tblW w:w="5000" w:type="pct"/>
        <w:jc w:val="start"/>
        <w:tblInd w:w="0" w:type="dxa"/>
        <w:tblLayout w:type="fixed"/>
        <w:tblCellMar>
          <w:top w:w="0" w:type="dxa"/>
          <w:start w:w="0" w:type="dxa"/>
          <w:bottom w:w="0" w:type="dxa"/>
          <w:end w:w="0" w:type="dxa"/>
        </w:tblCellMar>
      </w:tblPr>
      <w:tblGrid>
        <w:gridCol w:w="9638"/>
      </w:tblGrid>
      <w:tr>
        <w:trPr/>
        <w:tc>
          <w:tcPr>
            <w:tcW w:w="9638" w:type="dxa"/>
            <w:tcBorders/>
          </w:tcPr>
          <w:p>
            <w:pPr>
              <w:pStyle w:val="TableContents"/>
              <w:widowControl/>
              <w:pBdr/>
              <w:bidi w:val="0"/>
              <w:spacing w:lineRule="atLeast" w:line="225" w:before="120" w:after="120"/>
              <w:ind w:hanging="0" w:start="0" w:end="0"/>
              <w:jc w:val="center"/>
              <w:rPr>
                <w:rFonts w:ascii="Arial;sans-serif" w:hAnsi="Arial;sans-serif"/>
                <w:color w:val="000000"/>
                <w:sz w:val="20"/>
                <w:lang w:val="nl-NL"/>
              </w:rPr>
            </w:pPr>
            <w:r>
              <w:rPr>
                <w:rFonts w:ascii="Arial;sans-serif" w:hAnsi="Arial;sans-serif"/>
                <w:color w:val="000000"/>
                <w:sz w:val="20"/>
                <w:lang w:val="nl-NL"/>
              </w:rPr>
              <w:t xml:space="preserve">□ </w:t>
            </w:r>
            <w:r>
              <w:rPr>
                <w:rFonts w:ascii="Arial;sans-serif" w:hAnsi="Arial;sans-serif"/>
                <w:color w:val="000000"/>
                <w:sz w:val="20"/>
                <w:lang w:val="en-GB"/>
              </w:rPr>
              <w:t>Có xếp hạng tín nhiệm thuộc trường hợp bắt buộc phải xếp hạng tín nhiệm</w:t>
            </w:r>
          </w:p>
        </w:tc>
      </w:tr>
      <w:tr>
        <w:trPr/>
        <w:tc>
          <w:tcPr>
            <w:tcW w:w="9638" w:type="dxa"/>
            <w:tcBorders/>
          </w:tcPr>
          <w:p>
            <w:pPr>
              <w:pStyle w:val="TableContents"/>
              <w:widowControl/>
              <w:pBdr/>
              <w:bidi w:val="0"/>
              <w:spacing w:lineRule="atLeast" w:line="225" w:before="120" w:after="120"/>
              <w:ind w:hanging="0" w:start="0" w:end="0"/>
              <w:jc w:val="center"/>
              <w:rPr>
                <w:rFonts w:ascii="Arial;sans-serif" w:hAnsi="Arial;sans-serif"/>
                <w:color w:val="000000"/>
                <w:sz w:val="20"/>
                <w:lang w:val="nl-NL"/>
              </w:rPr>
            </w:pPr>
            <w:r>
              <w:rPr>
                <w:rFonts w:ascii="Arial;sans-serif" w:hAnsi="Arial;sans-serif"/>
                <w:color w:val="000000"/>
                <w:sz w:val="20"/>
                <w:lang w:val="nl-NL"/>
              </w:rPr>
              <w:t xml:space="preserve">□ </w:t>
            </w:r>
            <w:r>
              <w:rPr>
                <w:rFonts w:ascii="Arial;sans-serif" w:hAnsi="Arial;sans-serif"/>
                <w:color w:val="000000"/>
                <w:sz w:val="20"/>
                <w:lang w:val="en-GB"/>
              </w:rPr>
              <w:t>Có xếp hạng tín nhiệm thuộc trường hợp không bắt buộc phải xếp hạng tín nhiệm</w:t>
            </w:r>
          </w:p>
        </w:tc>
      </w:tr>
      <w:tr>
        <w:trPr/>
        <w:tc>
          <w:tcPr>
            <w:tcW w:w="9638" w:type="dxa"/>
            <w:tcBorders/>
          </w:tcPr>
          <w:p>
            <w:pPr>
              <w:pStyle w:val="TableContents"/>
              <w:widowControl/>
              <w:pBdr/>
              <w:bidi w:val="0"/>
              <w:spacing w:lineRule="atLeast" w:line="225" w:before="120" w:after="120"/>
              <w:ind w:hanging="0" w:start="0" w:end="0"/>
              <w:jc w:val="center"/>
              <w:rPr>
                <w:rFonts w:ascii="Arial;sans-serif" w:hAnsi="Arial;sans-serif"/>
                <w:color w:val="000000"/>
                <w:sz w:val="20"/>
                <w:lang w:val="nl-NL"/>
              </w:rPr>
            </w:pPr>
            <w:r>
              <w:rPr>
                <w:rFonts w:ascii="Arial;sans-serif" w:hAnsi="Arial;sans-serif"/>
                <w:color w:val="000000"/>
                <w:sz w:val="20"/>
                <w:lang w:val="nl-NL"/>
              </w:rPr>
              <w:t xml:space="preserve">□ </w:t>
            </w:r>
            <w:r>
              <w:rPr>
                <w:rFonts w:ascii="Arial;sans-serif" w:hAnsi="Arial;sans-serif"/>
                <w:color w:val="000000"/>
                <w:sz w:val="20"/>
                <w:lang w:val="en-GB"/>
              </w:rPr>
              <w:t>Không có xếp hạng tín nhiệm</w:t>
            </w:r>
          </w:p>
        </w:tc>
      </w:tr>
    </w:tbl>
    <w:p>
      <w:pPr>
        <w:pStyle w:val="BodyText"/>
        <w:widowControl/>
        <w:pBdr/>
        <w:bidi w:val="0"/>
        <w:spacing w:lineRule="atLeast" w:line="225" w:before="120" w:after="120"/>
        <w:ind w:hanging="0" w:start="0" w:end="0"/>
        <w:jc w:val="start"/>
        <w:rPr>
          <w:rFonts w:ascii="Arial;sans-serif" w:hAnsi="Arial;sans-serif"/>
          <w:b w:val="false"/>
          <w:i/>
          <w:caps w:val="false"/>
          <w:smallCaps w:val="false"/>
          <w:color w:val="000000"/>
          <w:spacing w:val="0"/>
          <w:sz w:val="20"/>
          <w:lang w:val="en-GB"/>
        </w:rPr>
      </w:pPr>
      <w:r>
        <w:rPr>
          <w:rFonts w:ascii="Arial;sans-serif" w:hAnsi="Arial;sans-serif"/>
          <w:b w:val="false"/>
          <w:i/>
          <w:caps w:val="false"/>
          <w:smallCaps w:val="false"/>
          <w:color w:val="000000"/>
          <w:spacing w:val="0"/>
          <w:sz w:val="20"/>
          <w:lang w:val="en-GB"/>
        </w:rPr>
        <w:t>(Nếu có xếp hạng tín nhiệm thì nêu cụ thể kết quả xếp hạng tín nhiệm đối với doanh nghiệp phát hành hoặc trái phiếu phát hành tại thời điểm công bố thông tin, ngày công bố kết quả xếp hạng tín nhiệm và tên doanh nghiệp cung cấp dịch vụ xếp hạng tín nhiệm).</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15. Ý kiến của tổ chức xác nhận việc đáp ứng các tiêu chí về phát hành trái phiếu xanh (trong trường hợp chào bán trái phiếu xanh).</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16. Trách nhiệm của doanh nghiệp phát hành trái phiếu.</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17. Cam kết của doanh nghiệp phát hành trái phiếu.</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18. Các điều khoản và điều kiện khác (nếu có).</w:t>
      </w:r>
    </w:p>
    <w:p>
      <w:pPr>
        <w:pStyle w:val="BodyText"/>
        <w:widowControl/>
        <w:pBdr/>
        <w:bidi w:val="0"/>
        <w:spacing w:lineRule="atLeast" w:line="225" w:before="120" w:after="120"/>
        <w:ind w:hanging="0" w:start="0" w:end="0"/>
        <w:jc w:val="start"/>
        <w:rPr>
          <w:rFonts w:ascii="Arial;sans-serif" w:hAnsi="Arial;sans-serif"/>
          <w:b/>
          <w:i w:val="false"/>
          <w:caps w:val="false"/>
          <w:smallCaps w:val="false"/>
          <w:color w:val="000000"/>
          <w:spacing w:val="0"/>
          <w:sz w:val="20"/>
          <w:lang w:val="en-GB"/>
        </w:rPr>
      </w:pPr>
      <w:r>
        <w:rPr>
          <w:rFonts w:ascii="Arial;sans-serif" w:hAnsi="Arial;sans-serif"/>
          <w:b/>
          <w:i w:val="false"/>
          <w:caps w:val="false"/>
          <w:smallCaps w:val="false"/>
          <w:color w:val="000000"/>
          <w:spacing w:val="0"/>
          <w:sz w:val="20"/>
          <w:lang w:val="en-GB"/>
        </w:rPr>
        <w:t>III. KẾ HOẠCH SỬ DỤNG TIỀN THU ĐƯỢC TỪ ĐỢT CHÀO BÁN VÀ KẾ HOẠCH THANH TOÁN GỐC LÃI CHO NHÀ ĐẦU TƯ</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lang w:val="nl-NL"/>
        </w:rPr>
      </w:pPr>
      <w:r>
        <w:rPr>
          <w:rFonts w:ascii="Arial;sans-serif" w:hAnsi="Arial;sans-serif"/>
          <w:b/>
          <w:i w:val="false"/>
          <w:caps w:val="false"/>
          <w:smallCaps w:val="false"/>
          <w:color w:val="000000"/>
          <w:spacing w:val="0"/>
          <w:sz w:val="20"/>
          <w:lang w:val="en-GB"/>
        </w:rPr>
        <w:t>1. Kế hoạch sử dụng tiền thu được từ đợt phát hành trái phiếu: </w:t>
      </w:r>
      <w:r>
        <w:rPr>
          <w:rFonts w:ascii="Arial;sans-serif" w:hAnsi="Arial;sans-serif"/>
          <w:b w:val="false"/>
          <w:i/>
          <w:caps w:val="false"/>
          <w:smallCaps w:val="false"/>
          <w:color w:val="000000"/>
          <w:spacing w:val="0"/>
          <w:sz w:val="20"/>
          <w:lang w:val="en-GB"/>
        </w:rPr>
        <w:t>(nêu rõ thời gian và giá trị giải ngân nguồn vốn từ phát hành trái phiếu).</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1.1. Thông tin về dự án đầu tư sử dụng vốn/khoản nợ cần tái cơ cấu từ nguồn vốn phát hành trái phiếu, bao gồm:</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a) Đối với dự án đầu tư sử dụng vốn:</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 Cơ sở pháp lý để triển khai dự án đầu tư: các tài liệu pháp lý để triển khai dự án theo quy định (quyết định của cấp có thẩm quyền phê duyệt dự án, tài liệu pháp lý về quyền sử dụng đất, giấy chứng nhận đầu tư, giấy phép xây dựng...tùy từng trường hợp dự án áp dụng), đồng thời cập nhật tình hình phê duyệt của cấp có thẩm quyền;</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 Tình hình triển khai dự án đầu tư đến thời điểm công bố thông tin (các hạng mục đã hoàn thành, đang triển khai, dự kiến triển khai, thời gian dự kiến đưa vào hoạt động, khai thác), giải trình những thay đổi so với phương án đã phê duyệt (nếu có);</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 Tổng số tiền dự kiến thu được phân bổ theo từng mục đích sử dụng (hạng mục cụ thể, thời gian dự kiến giải ngân theo từng hạng mục). Trường hợp số tiền thu được không đủ để sử dụng cho toàn bộ mục đích dự kiến, nêu thứ tự mục đích ưu tiên, số tiền và nguồn tài trợ khác cần có;</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 Tình hình thu xếp vốn đối với dự án đầu tư (nêu rõ vốn tự có, vốn vay, vốn huy động khác...); giải trình những thay đổi về tổng vốn đầu tư, cơ cấu vốn so với phương án đã được phê duyệt; phương án bù đắp vốn trong trường hợp điều chỉnh tổng mức đầu tư, cơ cấu vốn;</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 Tổng số tiền dự kiến thu được phân bổ theo từng mục đích sử dụng (hạng mục cụ thể, thời gian dự kiến giải ngân theo từng hạng mục). Trường hợp số tiền thu được không đủ để sử dụng cho toàn bộ mục đích dự kiến, nêu thứ tự mục đích ưu tiên, số tiền và nguồn tài trợ khác cần có.</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 Các rủi ro đầu tư của dự án.</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b) Đối với khoản nợ được cơ cấu lại:</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 Giá trị của khoản nợ;</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 Kỳ hạn của khoản nợ được cơ cấu.</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1.2. Thông tin về mục đích sử dụng vốn theo quy định của pháp luật chuyên ngành.</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1.3. Kế hoạch sử dụng số tiền thu được từ phát hành trái phiếu tạm thời nhàn rỗi trong trường hợp giải ngân theo tiến độ nguồn vốn thu được từ phát hành trái phiếu.</w:t>
      </w:r>
    </w:p>
    <w:p>
      <w:pPr>
        <w:pStyle w:val="BodyText"/>
        <w:widowControl/>
        <w:pBdr/>
        <w:bidi w:val="0"/>
        <w:spacing w:lineRule="atLeast" w:line="225" w:before="120" w:after="120"/>
        <w:ind w:hanging="0" w:start="0" w:end="0"/>
        <w:jc w:val="start"/>
        <w:rPr>
          <w:rFonts w:ascii="Arial;sans-serif" w:hAnsi="Arial;sans-serif"/>
          <w:b/>
          <w:i w:val="false"/>
          <w:caps w:val="false"/>
          <w:smallCaps w:val="false"/>
          <w:color w:val="000000"/>
          <w:spacing w:val="0"/>
          <w:sz w:val="20"/>
          <w:lang w:val="en-GB"/>
        </w:rPr>
      </w:pPr>
      <w:r>
        <w:rPr>
          <w:rFonts w:ascii="Arial;sans-serif" w:hAnsi="Arial;sans-serif"/>
          <w:b/>
          <w:i w:val="false"/>
          <w:caps w:val="false"/>
          <w:smallCaps w:val="false"/>
          <w:color w:val="000000"/>
          <w:spacing w:val="0"/>
          <w:sz w:val="20"/>
          <w:lang w:val="en-GB"/>
        </w:rPr>
        <w:t>2. Phương thức, kế hoạch, dự kiến dòng tiền thanh toán gốc, lãi cho nhà đầu tư:</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 Phương thức, kế hoạch, dự kiến dòng tiền thanh toán gốc, lãi trái phiếu.</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 Lịch trả gốc/lãi dự kiến; dòng tiền dự phóng của doanh nghiệp trong suốt kỳ hạn trái phiếu.</w:t>
      </w:r>
    </w:p>
    <w:p>
      <w:pPr>
        <w:pStyle w:val="BodyText"/>
        <w:widowControl/>
        <w:pBdr/>
        <w:bidi w:val="0"/>
        <w:spacing w:lineRule="atLeast" w:line="225" w:before="0" w:after="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 Riêng đối với trái phiếu xanh, ngoài việc nêu rõ phương thức, kế hoạch, dự kiến dòng tiền thanh toán gốc, lãi cho nhà đầu tư còn phải nêu rõ danh mục dự án sử dụng vốn thuộc lĩnh vực bảo vệ môi trường, dự án mang lại lợi ích về môi trường theo quy định của pháp luật về bảo vệ môi trường; quy trình hạch toán, quản lý, giải ngân vốn từ đợt chào bán trái phiếu theo quy định tại </w:t>
      </w:r>
      <w:bookmarkStart w:id="6" w:name="dc_66"/>
      <w:bookmarkEnd w:id="6"/>
      <w:r>
        <w:rPr>
          <w:rFonts w:ascii="Arial;sans-serif" w:hAnsi="Arial;sans-serif"/>
          <w:b w:val="false"/>
          <w:i w:val="false"/>
          <w:caps w:val="false"/>
          <w:smallCaps w:val="false"/>
          <w:strike w:val="false"/>
          <w:dstrike w:val="false"/>
          <w:color w:val="000000"/>
          <w:spacing w:val="0"/>
          <w:sz w:val="20"/>
          <w:u w:val="none"/>
          <w:effect w:val="none"/>
          <w:lang w:val="en-GB"/>
        </w:rPr>
        <w:t>khoản 3 Điều 5 Nghị định số 200/2026/NĐ-CP</w:t>
      </w:r>
      <w:r>
        <w:rPr>
          <w:rFonts w:ascii="Arial;sans-serif" w:hAnsi="Arial;sans-serif"/>
          <w:b w:val="false"/>
          <w:i w:val="false"/>
          <w:caps w:val="false"/>
          <w:smallCaps w:val="false"/>
          <w:color w:val="000000"/>
          <w:spacing w:val="0"/>
          <w:sz w:val="20"/>
          <w:lang w:val="en-GB"/>
        </w:rPr>
        <w:t>.</w:t>
      </w:r>
    </w:p>
    <w:p>
      <w:pPr>
        <w:pStyle w:val="BodyText"/>
        <w:widowControl/>
        <w:pBdr/>
        <w:bidi w:val="0"/>
        <w:spacing w:lineRule="atLeast" w:line="225" w:before="120" w:after="120"/>
        <w:ind w:hanging="0" w:start="0" w:end="0"/>
        <w:jc w:val="start"/>
        <w:rPr>
          <w:rFonts w:ascii="Arial;sans-serif" w:hAnsi="Arial;sans-serif"/>
          <w:b/>
          <w:i w:val="false"/>
          <w:caps w:val="false"/>
          <w:smallCaps w:val="false"/>
          <w:color w:val="000000"/>
          <w:spacing w:val="0"/>
          <w:sz w:val="20"/>
          <w:lang w:val="en-GB"/>
        </w:rPr>
      </w:pPr>
      <w:r>
        <w:rPr>
          <w:rFonts w:ascii="Arial;sans-serif" w:hAnsi="Arial;sans-serif"/>
          <w:b/>
          <w:i w:val="false"/>
          <w:caps w:val="false"/>
          <w:smallCaps w:val="false"/>
          <w:color w:val="000000"/>
          <w:spacing w:val="0"/>
          <w:sz w:val="20"/>
          <w:lang w:val="en-GB"/>
        </w:rPr>
        <w:t>3. Đánh giá về tình hình tài chính và khả năng thanh toán các khoản nợ đến hạn của doanh nghiệp, khả năng trả nợ đối với trái phiếu dự kiến phát hành.</w:t>
      </w:r>
    </w:p>
    <w:p>
      <w:pPr>
        <w:pStyle w:val="BodyText"/>
        <w:widowControl/>
        <w:pBdr/>
        <w:bidi w:val="0"/>
        <w:spacing w:lineRule="atLeast" w:line="225" w:before="120" w:after="120"/>
        <w:ind w:hanging="0" w:start="0" w:end="0"/>
        <w:jc w:val="start"/>
        <w:rPr>
          <w:rFonts w:ascii="Arial;sans-serif" w:hAnsi="Arial;sans-serif"/>
          <w:b/>
          <w:i w:val="false"/>
          <w:caps w:val="false"/>
          <w:smallCaps w:val="false"/>
          <w:color w:val="000000"/>
          <w:spacing w:val="0"/>
          <w:sz w:val="20"/>
          <w:lang w:val="en-GB"/>
        </w:rPr>
      </w:pPr>
      <w:r>
        <w:rPr>
          <w:rFonts w:ascii="Arial;sans-serif" w:hAnsi="Arial;sans-serif"/>
          <w:b/>
          <w:i w:val="false"/>
          <w:caps w:val="false"/>
          <w:smallCaps w:val="false"/>
          <w:color w:val="000000"/>
          <w:spacing w:val="0"/>
          <w:sz w:val="20"/>
          <w:lang w:val="en-GB"/>
        </w:rPr>
        <w:t>IV. CÁC TỔ CHỨC LIÊN QUAN</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Nêu rõ tên, mã số thuế, giấy chứng nhận đăng ký doanh nghiệp, địa chỉ trụ sở chính, số điện thoại, địa chỉ thư điện tử, người đại diện theo pháp luật/người được ủy quyền của các tổ chức liên quan đến đợt chào bán: tổ chức tư vấn hồ sơ chào bán trái phiếu; tổ chức đấu thầu, bảo lãnh phát hành hoặc đại lý phát hành (nếu có); tổ chức đại diện người sở hữu trái phiếu (nếu có); ngân hàng thương mại, chi nhánh ngân hàng nước ngoài nơi doanh nghiệp mở tài khoản để nhận tiền mua trái phiếu của nhà đầu tư, tổ chức quản lý tài sản bảo đảm (nếu có), tổ chức xếp hạng tín nhiệm (nếu có) ...</w:t>
      </w:r>
    </w:p>
    <w:p>
      <w:pPr>
        <w:pStyle w:val="BodyText"/>
        <w:widowControl/>
        <w:pBdr/>
        <w:bidi w:val="0"/>
        <w:spacing w:lineRule="atLeast" w:line="225" w:before="120" w:after="120"/>
        <w:ind w:hanging="0" w:start="0" w:end="0"/>
        <w:jc w:val="start"/>
        <w:rPr>
          <w:rFonts w:ascii="Arial;sans-serif" w:hAnsi="Arial;sans-serif"/>
          <w:b/>
          <w:i w:val="false"/>
          <w:caps w:val="false"/>
          <w:smallCaps w:val="false"/>
          <w:color w:val="000000"/>
          <w:spacing w:val="0"/>
          <w:sz w:val="20"/>
          <w:lang w:val="en-GB"/>
        </w:rPr>
      </w:pPr>
      <w:r>
        <w:rPr>
          <w:rFonts w:ascii="Arial;sans-serif" w:hAnsi="Arial;sans-serif"/>
          <w:b/>
          <w:i w:val="false"/>
          <w:caps w:val="false"/>
          <w:smallCaps w:val="false"/>
          <w:color w:val="000000"/>
          <w:spacing w:val="0"/>
          <w:sz w:val="20"/>
          <w:lang w:val="en-GB"/>
        </w:rPr>
        <w:t>V. CÁC RỦI RO CÓ THỂ XẢY RA LIÊN QUAN ĐẾN ĐỢT CHÀO BÁN TRÁI PHIẾU</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Doanh nghiệp phát hành thống kê, giải thích các yếu tố rủi ro có thể xảy ra ảnh hưởng đến doanh nghiệp và đợt phát hành trái phiếu, bao gồm các rủi ro về luật pháp, rủi ro về đầu tư, rủi ro về hoạt động sản xuất kinh doanh, rủi ro về tài chính, rủi ro sử dụng vốn, rủi ro khác.</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lang w:val="nl-NL"/>
        </w:rPr>
      </w:pPr>
      <w:r>
        <w:rPr>
          <w:rFonts w:ascii="Arial;sans-serif" w:hAnsi="Arial;sans-serif"/>
          <w:b/>
          <w:i w:val="false"/>
          <w:caps w:val="false"/>
          <w:smallCaps w:val="false"/>
          <w:color w:val="000000"/>
          <w:spacing w:val="0"/>
          <w:sz w:val="20"/>
          <w:lang w:val="en-GB"/>
        </w:rPr>
        <w:t>VI. NGÀY THÁNG, CHỮ KÝ, ĐÓNG DẤU CỦA ĐẠI DIỆN TỔ CHỨC PHÁT HÀNH (NGƯỜI ĐẠI DIỆN THEO PHÁP LUẬT HOẶC NGƯỜI ĐƯỢC ỦY QUYỀN); TỔ CHỨC TƯ VẤN HỒ SƠ CHÀO BÁN; TỔ CHỨC ĐẤU THẦU PHÁT HÀNH (nếu có); TỔ CHỨC BẢO LÃNH PHÁT HÀNH (nếu có); TỔ CHỨC ĐẠI LÝ PHÁT HÀNH (nếu có) và NGÀY THÁNG, CHỨC DANH, CHỮ KÝ CỦA NGƯỜI LẬP BIỂU</w:t>
      </w:r>
    </w:p>
    <w:p>
      <w:pPr>
        <w:pStyle w:val="BodyText"/>
        <w:widowControl/>
        <w:pBdr/>
        <w:bidi w:val="0"/>
        <w:spacing w:lineRule="atLeast" w:line="225" w:before="120" w:after="120"/>
        <w:ind w:hanging="0" w:start="0" w:end="0"/>
        <w:jc w:val="start"/>
        <w:rPr>
          <w:rFonts w:ascii="Arial;sans-serif" w:hAnsi="Arial;sans-serif"/>
          <w:b/>
          <w:i w:val="false"/>
          <w:caps w:val="false"/>
          <w:smallCaps w:val="false"/>
          <w:color w:val="000000"/>
          <w:spacing w:val="0"/>
          <w:sz w:val="20"/>
          <w:lang w:val="en-GB"/>
        </w:rPr>
      </w:pPr>
      <w:r>
        <w:rPr>
          <w:rFonts w:ascii="Arial;sans-serif" w:hAnsi="Arial;sans-serif"/>
          <w:b/>
          <w:i w:val="false"/>
          <w:caps w:val="false"/>
          <w:smallCaps w:val="false"/>
          <w:color w:val="000000"/>
          <w:spacing w:val="0"/>
          <w:sz w:val="20"/>
          <w:lang w:val="en-GB"/>
        </w:rPr>
        <w:t>VII. PHỤ LỤC</w:t>
      </w:r>
    </w:p>
    <w:p>
      <w:pPr>
        <w:pStyle w:val="BodyText"/>
        <w:widowControl/>
        <w:pBdr/>
        <w:bidi w:val="0"/>
        <w:spacing w:lineRule="atLeast" w:line="225" w:before="120" w:after="120"/>
        <w:ind w:hanging="0" w:start="0" w:end="0"/>
        <w:jc w:val="start"/>
        <w:rPr>
          <w:rFonts w:ascii="Arial;sans-serif" w:hAnsi="Arial;sans-serif"/>
          <w:b w:val="false"/>
          <w:i/>
          <w:caps w:val="false"/>
          <w:smallCaps w:val="false"/>
          <w:color w:val="000000"/>
          <w:spacing w:val="0"/>
          <w:sz w:val="20"/>
          <w:lang w:val="vi-VN"/>
        </w:rPr>
      </w:pPr>
      <w:r>
        <w:rPr>
          <w:rFonts w:ascii="Arial;sans-serif" w:hAnsi="Arial;sans-serif"/>
          <w:b w:val="false"/>
          <w:i/>
          <w:caps w:val="false"/>
          <w:smallCaps w:val="false"/>
          <w:color w:val="000000"/>
          <w:spacing w:val="0"/>
          <w:sz w:val="20"/>
          <w:lang w:val="vi-VN"/>
        </w:rPr>
        <w:t>(Kèm theo Bản công bố thông tin trước đợt chào bán trái phiếu)</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lang w:val="nl-NL"/>
        </w:rPr>
      </w:pPr>
      <w:r>
        <w:rPr>
          <w:rFonts w:ascii="Arial;sans-serif" w:hAnsi="Arial;sans-serif"/>
          <w:b/>
          <w:i w:val="false"/>
          <w:caps w:val="false"/>
          <w:smallCaps w:val="false"/>
          <w:color w:val="000000"/>
          <w:spacing w:val="0"/>
          <w:sz w:val="20"/>
          <w:lang w:val="vi-VN"/>
        </w:rPr>
        <w:t>1. Phụ lục 1: </w:t>
      </w:r>
      <w:r>
        <w:rPr>
          <w:rFonts w:ascii="Arial;sans-serif" w:hAnsi="Arial;sans-serif"/>
          <w:b w:val="false"/>
          <w:i w:val="false"/>
          <w:caps w:val="false"/>
          <w:smallCaps w:val="false"/>
          <w:color w:val="000000"/>
          <w:spacing w:val="0"/>
          <w:sz w:val="20"/>
          <w:lang w:val="vi-VN"/>
        </w:rPr>
        <w:t>Bản gốc, bản chính hoặc bản sao có chứng thực hợp lệ đối với Giấy chứng nhận đăng ký doanh nghiệp hoặc Giấy chứng nhận đăng ký kinh doanh hoặc Giấy phép có giá trị tương đương; Bản gốc, bản chính hoặc bản sao có chứng thực hợp lệ Quyết định bổ nhiệm người đại diện theo pháp luật, Kế toán trưởng của doanh nghiệp.</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lang w:val="nl-NL"/>
        </w:rPr>
      </w:pPr>
      <w:r>
        <w:rPr>
          <w:rFonts w:ascii="Arial;sans-serif" w:hAnsi="Arial;sans-serif"/>
          <w:b/>
          <w:i w:val="false"/>
          <w:caps w:val="false"/>
          <w:smallCaps w:val="false"/>
          <w:color w:val="000000"/>
          <w:spacing w:val="0"/>
          <w:sz w:val="20"/>
          <w:lang w:val="vi-VN"/>
        </w:rPr>
        <w:t>2. Phụ lục 2: </w:t>
      </w:r>
      <w:r>
        <w:rPr>
          <w:rFonts w:ascii="Arial;sans-serif" w:hAnsi="Arial;sans-serif"/>
          <w:b w:val="false"/>
          <w:i w:val="false"/>
          <w:caps w:val="false"/>
          <w:smallCaps w:val="false"/>
          <w:color w:val="000000"/>
          <w:spacing w:val="0"/>
          <w:sz w:val="20"/>
          <w:lang w:val="vi-VN"/>
        </w:rPr>
        <w:t>Bản gốc, bản chính hoặc bản sao có chứng thực hợp lệ Điều lệ công ty.</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lang w:val="nl-NL"/>
        </w:rPr>
      </w:pPr>
      <w:r>
        <w:rPr>
          <w:rFonts w:ascii="Arial;sans-serif" w:hAnsi="Arial;sans-serif"/>
          <w:b/>
          <w:i w:val="false"/>
          <w:caps w:val="false"/>
          <w:smallCaps w:val="false"/>
          <w:color w:val="000000"/>
          <w:spacing w:val="0"/>
          <w:sz w:val="20"/>
          <w:lang w:val="vi-VN"/>
        </w:rPr>
        <w:t>3. Phụ lục 3: </w:t>
      </w:r>
      <w:r>
        <w:rPr>
          <w:rFonts w:ascii="Arial;sans-serif" w:hAnsi="Arial;sans-serif"/>
          <w:b w:val="false"/>
          <w:i w:val="false"/>
          <w:caps w:val="false"/>
          <w:smallCaps w:val="false"/>
          <w:color w:val="000000"/>
          <w:spacing w:val="0"/>
          <w:sz w:val="20"/>
          <w:lang w:val="vi-VN"/>
        </w:rPr>
        <w:t>Bản gốc, bản chính hoặc bản sao có chứng thực hợp lệ Báo cáo tài chính năm trước liền kề của năm phát hành được kiểm toán bởi tổ chức kiểm toán đủ điều kiện.</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lang w:val="nl-NL"/>
        </w:rPr>
      </w:pPr>
      <w:r>
        <w:rPr>
          <w:rFonts w:ascii="Arial;sans-serif" w:hAnsi="Arial;sans-serif"/>
          <w:b/>
          <w:i w:val="false"/>
          <w:caps w:val="false"/>
          <w:smallCaps w:val="false"/>
          <w:color w:val="000000"/>
          <w:spacing w:val="0"/>
          <w:sz w:val="20"/>
          <w:lang w:val="vi-VN"/>
        </w:rPr>
        <w:t>4. Phụ lục 4: </w:t>
      </w:r>
      <w:r>
        <w:rPr>
          <w:rFonts w:ascii="Arial;sans-serif" w:hAnsi="Arial;sans-serif"/>
          <w:b w:val="false"/>
          <w:i w:val="false"/>
          <w:caps w:val="false"/>
          <w:smallCaps w:val="false"/>
          <w:color w:val="000000"/>
          <w:spacing w:val="0"/>
          <w:sz w:val="20"/>
          <w:lang w:val="vi-VN"/>
        </w:rPr>
        <w:t>Báo cáo định kỳ của kỳ gần nhất về tình hình sử dụng số tiền thu được từ việc phát hành trái phiếu đối với các trái phiếu còn dư nợ được kiểm toán bởi tổ chức kiểm toán đủ điều kiện (nếu có).</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lang w:val="nl-NL"/>
        </w:rPr>
      </w:pPr>
      <w:r>
        <w:rPr>
          <w:rFonts w:ascii="Arial;sans-serif" w:hAnsi="Arial;sans-serif"/>
          <w:b/>
          <w:i w:val="false"/>
          <w:caps w:val="false"/>
          <w:smallCaps w:val="false"/>
          <w:color w:val="000000"/>
          <w:spacing w:val="0"/>
          <w:sz w:val="20"/>
          <w:lang w:val="vi-VN"/>
        </w:rPr>
        <w:t>5. Phụ lục 5: </w:t>
      </w:r>
      <w:r>
        <w:rPr>
          <w:rFonts w:ascii="Arial;sans-serif" w:hAnsi="Arial;sans-serif"/>
          <w:b w:val="false"/>
          <w:i w:val="false"/>
          <w:caps w:val="false"/>
          <w:smallCaps w:val="false"/>
          <w:color w:val="000000"/>
          <w:spacing w:val="0"/>
          <w:sz w:val="20"/>
          <w:lang w:val="vi-VN"/>
        </w:rPr>
        <w:t>Bản gốc, bản chính hoặc bản sao có chứng thực hợp lệ đối với Phương án phát hành trái phiếu được cấp có thẩm quyền phê duyệt, chấp thuận kèm theo văn bản phê duyệt, chấp thuận.</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lang w:val="nl-NL"/>
        </w:rPr>
      </w:pPr>
      <w:r>
        <w:rPr>
          <w:rFonts w:ascii="Arial;sans-serif" w:hAnsi="Arial;sans-serif"/>
          <w:b/>
          <w:i w:val="false"/>
          <w:caps w:val="false"/>
          <w:smallCaps w:val="false"/>
          <w:color w:val="000000"/>
          <w:spacing w:val="0"/>
          <w:sz w:val="20"/>
          <w:lang w:val="vi-VN"/>
        </w:rPr>
        <w:t>6. Phụ lục 6: </w:t>
      </w:r>
      <w:r>
        <w:rPr>
          <w:rFonts w:ascii="Arial;sans-serif" w:hAnsi="Arial;sans-serif"/>
          <w:b w:val="false"/>
          <w:i w:val="false"/>
          <w:caps w:val="false"/>
          <w:smallCaps w:val="false"/>
          <w:color w:val="000000"/>
          <w:spacing w:val="0"/>
          <w:sz w:val="20"/>
          <w:lang w:val="vi-VN"/>
        </w:rPr>
        <w:t>Bản gốc, bản chính hoặc bản sao có chứng thực hợp lệ đối với công văn xác nhận của Ngân hàng Nhà nước Việt Nam về khối lượng phát hành nằm trong hạn mức vay thương mại quốc gia (trường hợp phát hành ra thị trường quốc tế).</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lang w:val="nl-NL"/>
        </w:rPr>
      </w:pPr>
      <w:r>
        <w:rPr>
          <w:rFonts w:ascii="Arial;sans-serif" w:hAnsi="Arial;sans-serif"/>
          <w:b/>
          <w:i w:val="false"/>
          <w:caps w:val="false"/>
          <w:smallCaps w:val="false"/>
          <w:color w:val="000000"/>
          <w:spacing w:val="0"/>
          <w:sz w:val="20"/>
          <w:lang w:val="vi-VN"/>
        </w:rPr>
        <w:t>7. Phụ lục 7: </w:t>
      </w:r>
      <w:r>
        <w:rPr>
          <w:rFonts w:ascii="Arial;sans-serif" w:hAnsi="Arial;sans-serif"/>
          <w:b w:val="false"/>
          <w:i w:val="false"/>
          <w:caps w:val="false"/>
          <w:smallCaps w:val="false"/>
          <w:color w:val="000000"/>
          <w:spacing w:val="0"/>
          <w:sz w:val="20"/>
          <w:lang w:val="vi-VN"/>
        </w:rPr>
        <w:t>Các tài liệu pháp lý về mục đích phát hành trái phiếu theo nội dung nêu tại mục II.3.</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lang w:val="nl-NL"/>
        </w:rPr>
      </w:pPr>
      <w:r>
        <w:rPr>
          <w:rFonts w:ascii="Arial;sans-serif" w:hAnsi="Arial;sans-serif"/>
          <w:b/>
          <w:i w:val="false"/>
          <w:caps w:val="false"/>
          <w:smallCaps w:val="false"/>
          <w:color w:val="000000"/>
          <w:spacing w:val="0"/>
          <w:sz w:val="20"/>
          <w:lang w:val="vi-VN"/>
        </w:rPr>
        <w:t>8. Phụ lục 8: </w:t>
      </w:r>
      <w:r>
        <w:rPr>
          <w:rFonts w:ascii="Arial;sans-serif" w:hAnsi="Arial;sans-serif"/>
          <w:b w:val="false"/>
          <w:i w:val="false"/>
          <w:caps w:val="false"/>
          <w:smallCaps w:val="false"/>
          <w:color w:val="000000"/>
          <w:spacing w:val="0"/>
          <w:sz w:val="20"/>
          <w:lang w:val="vi-VN"/>
        </w:rPr>
        <w:t>Tài liệu về tài sản bảo đảm (trong trường hợp trái phiếu có tài sản bảo đảm) theo nội dung nêu tại mục II.11.</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lang w:val="nl-NL"/>
        </w:rPr>
      </w:pPr>
      <w:r>
        <w:rPr>
          <w:rFonts w:ascii="Arial;sans-serif" w:hAnsi="Arial;sans-serif"/>
          <w:b/>
          <w:i w:val="false"/>
          <w:caps w:val="false"/>
          <w:smallCaps w:val="false"/>
          <w:color w:val="000000"/>
          <w:spacing w:val="0"/>
          <w:sz w:val="20"/>
          <w:lang w:val="vi-VN"/>
        </w:rPr>
        <w:t>9. Phụ lục 9: </w:t>
      </w:r>
      <w:r>
        <w:rPr>
          <w:rFonts w:ascii="Arial;sans-serif" w:hAnsi="Arial;sans-serif"/>
          <w:b w:val="false"/>
          <w:i w:val="false"/>
          <w:caps w:val="false"/>
          <w:smallCaps w:val="false"/>
          <w:color w:val="000000"/>
          <w:spacing w:val="0"/>
          <w:sz w:val="20"/>
          <w:lang w:val="vi-VN"/>
        </w:rPr>
        <w:t>Báo cáo kết quả xếp hạng tín nhiệm đối với trái phiếu đăng ký chào bán trong trường hợp bắt buộc phải xếp hạng tín nhiệm theo quy định của pháp luật;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lang w:val="nl-NL"/>
        </w:rPr>
      </w:pPr>
      <w:r>
        <w:rPr>
          <w:rFonts w:ascii="Arial;sans-serif" w:hAnsi="Arial;sans-serif"/>
          <w:b/>
          <w:i w:val="false"/>
          <w:caps w:val="false"/>
          <w:smallCaps w:val="false"/>
          <w:color w:val="000000"/>
          <w:spacing w:val="0"/>
          <w:sz w:val="20"/>
          <w:lang w:val="vi-VN"/>
        </w:rPr>
        <w:t>10. Phụ lục 10: </w:t>
      </w:r>
      <w:r>
        <w:rPr>
          <w:rFonts w:ascii="Arial;sans-serif" w:hAnsi="Arial;sans-serif"/>
          <w:b w:val="false"/>
          <w:i w:val="false"/>
          <w:caps w:val="false"/>
          <w:smallCaps w:val="false"/>
          <w:color w:val="000000"/>
          <w:spacing w:val="0"/>
          <w:sz w:val="20"/>
          <w:lang w:val="vi-VN"/>
        </w:rPr>
        <w:t>Văn bản xác nhận của ngân hàng thương mại, chi nhánh ngân hàng nước ngoài về việc doanh nghiệp mở tài khoản để nhận tiền mua trái phiếu không chuyển đổi không kèm chứng quyền hoặc mở tài khoản phong tỏa để nhận tiền mua trái phiếu chuyển đổi, trái phiếu kèm chứng quyền của đợt chào bán; hoặc văn bản thông báo số tài khoản nhận tiền của ngân hàng thương mại trường hợp tổ chức phát hành là ngân hàng thương mại (trong trường hợp phát hành trái phiếu riêng lẻ tại thị trường trong nước).</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lang w:val="nl-NL"/>
        </w:rPr>
      </w:pPr>
      <w:r>
        <w:rPr>
          <w:rFonts w:ascii="Arial;sans-serif" w:hAnsi="Arial;sans-serif"/>
          <w:b/>
          <w:i w:val="false"/>
          <w:caps w:val="false"/>
          <w:smallCaps w:val="false"/>
          <w:color w:val="000000"/>
          <w:spacing w:val="0"/>
          <w:sz w:val="20"/>
          <w:lang w:val="vi-VN"/>
        </w:rPr>
        <w:t>11. Phụ lục 11: </w:t>
      </w:r>
      <w:r>
        <w:rPr>
          <w:rFonts w:ascii="Arial;sans-serif" w:hAnsi="Arial;sans-serif"/>
          <w:b w:val="false"/>
          <w:i w:val="false"/>
          <w:caps w:val="false"/>
          <w:smallCaps w:val="false"/>
          <w:color w:val="000000"/>
          <w:spacing w:val="0"/>
          <w:sz w:val="20"/>
          <w:lang w:val="vi-VN"/>
        </w:rPr>
        <w:t>Báo cáo về những tranh chấp pháp luật (trong trường hợp phát sinh).</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lang w:val="nl-NL"/>
        </w:rPr>
      </w:pPr>
      <w:r>
        <w:rPr>
          <w:rFonts w:ascii="Arial;sans-serif" w:hAnsi="Arial;sans-serif"/>
          <w:b/>
          <w:i w:val="false"/>
          <w:caps w:val="false"/>
          <w:smallCaps w:val="false"/>
          <w:color w:val="000000"/>
          <w:spacing w:val="0"/>
          <w:sz w:val="20"/>
          <w:lang w:val="vi-VN"/>
        </w:rPr>
        <w:t>12. Phụ lục 12:</w:t>
      </w:r>
      <w:r>
        <w:rPr>
          <w:rFonts w:ascii="Arial;Helvetica;sans-serif" w:hAnsi="Arial;Helvetica;sans-serif"/>
          <w:b w:val="false"/>
          <w:i w:val="false"/>
          <w:caps w:val="false"/>
          <w:smallCaps w:val="false"/>
          <w:color w:val="000000"/>
          <w:spacing w:val="0"/>
          <w:sz w:val="18"/>
          <w:lang w:val="nl-NL"/>
        </w:rPr>
        <w:t> </w:t>
      </w:r>
      <w:r>
        <w:rPr>
          <w:rFonts w:ascii="Arial;sans-serif" w:hAnsi="Arial;sans-serif"/>
          <w:b w:val="false"/>
          <w:i w:val="false"/>
          <w:caps w:val="false"/>
          <w:smallCaps w:val="false"/>
          <w:color w:val="000000"/>
          <w:spacing w:val="0"/>
          <w:sz w:val="20"/>
          <w:lang w:val="vi-VN"/>
        </w:rPr>
        <w:t>Cam kết thực hiện nghĩa vụ của Tổ chức phát hành đối với nhà đầu tư về điều kiện phát hành, thanh toán, bảo đảm quyền và lợi ích hợp pháp của nhà đầu tư và các điều kiện khác.</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lang w:val="nl-NL"/>
        </w:rPr>
      </w:pPr>
      <w:r>
        <w:rPr>
          <w:rFonts w:ascii="Arial;sans-serif" w:hAnsi="Arial;sans-serif"/>
          <w:b/>
          <w:i w:val="false"/>
          <w:caps w:val="false"/>
          <w:smallCaps w:val="false"/>
          <w:color w:val="000000"/>
          <w:spacing w:val="0"/>
          <w:sz w:val="20"/>
          <w:lang w:val="vi-VN"/>
        </w:rPr>
        <w:t>13. Phụ lục 13:</w:t>
      </w:r>
      <w:r>
        <w:rPr>
          <w:rFonts w:ascii="Arial;Helvetica;sans-serif" w:hAnsi="Arial;Helvetica;sans-serif"/>
          <w:b w:val="false"/>
          <w:i w:val="false"/>
          <w:caps w:val="false"/>
          <w:smallCaps w:val="false"/>
          <w:color w:val="000000"/>
          <w:spacing w:val="0"/>
          <w:sz w:val="18"/>
          <w:lang w:val="nl-NL"/>
        </w:rPr>
        <w:t> </w:t>
      </w:r>
      <w:r>
        <w:rPr>
          <w:rFonts w:ascii="Arial;sans-serif" w:hAnsi="Arial;sans-serif"/>
          <w:b w:val="false"/>
          <w:i w:val="false"/>
          <w:caps w:val="false"/>
          <w:smallCaps w:val="false"/>
          <w:color w:val="000000"/>
          <w:spacing w:val="0"/>
          <w:sz w:val="20"/>
          <w:lang w:val="vi-VN"/>
        </w:rPr>
        <w:t>Bản gốc, bản chính hoặc bản sao có chứng thực hợp lệ Hợp đồng đại diện người sở hữu trái phiếu.</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lang w:val="nl-NL"/>
        </w:rPr>
      </w:pPr>
      <w:r>
        <w:rPr>
          <w:rFonts w:ascii="Arial;sans-serif" w:hAnsi="Arial;sans-serif"/>
          <w:b/>
          <w:i w:val="false"/>
          <w:caps w:val="false"/>
          <w:smallCaps w:val="false"/>
          <w:color w:val="000000"/>
          <w:spacing w:val="0"/>
          <w:sz w:val="20"/>
          <w:lang w:val="vi-VN"/>
        </w:rPr>
        <w:t>14. </w:t>
      </w:r>
      <w:r>
        <w:rPr>
          <w:rFonts w:ascii="Arial;sans-serif" w:hAnsi="Arial;sans-serif"/>
          <w:b w:val="false"/>
          <w:i w:val="false"/>
          <w:caps w:val="false"/>
          <w:smallCaps w:val="false"/>
          <w:color w:val="000000"/>
          <w:spacing w:val="0"/>
          <w:sz w:val="20"/>
          <w:lang w:val="vi-VN"/>
        </w:rPr>
        <w:t>Các phụ lục khác (nếu có).</w:t>
      </w:r>
    </w:p>
    <w:p>
      <w:pPr>
        <w:pStyle w:val="BodyText"/>
        <w:widowControl/>
        <w:pBdr/>
        <w:bidi w:val="0"/>
        <w:spacing w:lineRule="atLeast" w:line="225" w:before="0" w:after="0"/>
        <w:ind w:hanging="0" w:start="0" w:end="0"/>
        <w:jc w:val="start"/>
        <w:rPr>
          <w:rFonts w:ascii="Arial;sans-serif" w:hAnsi="Arial;sans-serif"/>
          <w:b w:val="false"/>
          <w:i/>
          <w:caps w:val="false"/>
          <w:smallCaps w:val="false"/>
          <w:color w:val="000000"/>
          <w:spacing w:val="0"/>
          <w:sz w:val="20"/>
          <w:lang w:val="vi-VN"/>
        </w:rPr>
      </w:pPr>
      <w:r>
        <w:rPr>
          <w:rFonts w:ascii="Arial;sans-serif" w:hAnsi="Arial;sans-serif"/>
          <w:b w:val="false"/>
          <w:i/>
          <w:caps w:val="false"/>
          <w:smallCaps w:val="false"/>
          <w:color w:val="000000"/>
          <w:spacing w:val="0"/>
          <w:sz w:val="20"/>
          <w:lang w:val="vi-VN"/>
        </w:rPr>
        <w:t>(*) Trường hợp có sự thay đổi về nội dung thông tin so với thông tin đã công bố trước khi chào bán trái phiếu làm ảnh hưởng đến khả năng trả nợ lãi, gốc trái phiếu, doanh nghiệp phát hành trái phiếu phải công bố thông tin bất thường cho nhà đầu tư sở hữu trái phiếu và gửi nội dung công bố thông tin cho Sở Giao dịch Chứng khoán theo quy định tại </w:t>
      </w:r>
      <w:bookmarkStart w:id="7" w:name="dc_67"/>
      <w:bookmarkEnd w:id="7"/>
      <w:r>
        <w:rPr>
          <w:rFonts w:ascii="Arial;sans-serif" w:hAnsi="Arial;sans-serif"/>
          <w:b w:val="false"/>
          <w:i/>
          <w:caps w:val="false"/>
          <w:smallCaps w:val="false"/>
          <w:strike w:val="false"/>
          <w:dstrike w:val="false"/>
          <w:color w:val="000000"/>
          <w:spacing w:val="0"/>
          <w:sz w:val="20"/>
          <w:u w:val="none"/>
          <w:effect w:val="none"/>
          <w:lang w:val="vi-VN"/>
        </w:rPr>
        <w:t>Điều 32 và Điều 37 Nghị định số 200/2026/NĐ-CP</w:t>
      </w:r>
      <w:r>
        <w:rPr>
          <w:rFonts w:ascii="Arial;sans-serif" w:hAnsi="Arial;sans-serif"/>
          <w:b w:val="false"/>
          <w:i/>
          <w:caps w:val="false"/>
          <w:smallCaps w:val="false"/>
          <w:color w:val="000000"/>
          <w:spacing w:val="0"/>
          <w:sz w:val="20"/>
          <w:lang w:val="vi-VN"/>
        </w:rPr>
        <w:t> và các văn bản sửa đổi, bổ sung, thay thế (nếu có).</w:t>
      </w:r>
    </w:p>
    <w:p>
      <w:pPr>
        <w:pStyle w:val="BodyText"/>
        <w:widowControl/>
        <w:pBdr/>
        <w:bidi w:val="0"/>
        <w:spacing w:lineRule="atLeast" w:line="225" w:before="0" w:after="0"/>
        <w:ind w:hanging="0" w:start="0" w:end="0"/>
        <w:jc w:val="start"/>
        <w:rPr>
          <w:rFonts w:ascii="Arial;Helvetica;sans-serif" w:hAnsi="Arial;Helvetica;sans-serif"/>
          <w:b w:val="false"/>
          <w:i w:val="false"/>
          <w:caps w:val="false"/>
          <w:smallCaps w:val="false"/>
          <w:color w:val="000000"/>
          <w:spacing w:val="0"/>
          <w:sz w:val="18"/>
          <w:lang w:val="nl-NL"/>
        </w:rPr>
      </w:pPr>
      <w:r>
        <w:rPr>
          <w:rFonts w:ascii="Arial;sans-serif" w:hAnsi="Arial;sans-serif"/>
          <w:b w:val="false"/>
          <w:i/>
          <w:caps w:val="false"/>
          <w:smallCaps w:val="false"/>
          <w:color w:val="000000"/>
          <w:spacing w:val="0"/>
          <w:sz w:val="20"/>
          <w:lang w:val="vi-VN"/>
        </w:rPr>
        <w:t>(**) Sở Giao dịch Chứng khoán tiếp nhận nội dung công bố thông tin để thực hiện trách nhiệm quy định tại</w:t>
      </w:r>
      <w:r>
        <w:rPr>
          <w:rFonts w:ascii="Arial;Helvetica;sans-serif" w:hAnsi="Arial;Helvetica;sans-serif"/>
          <w:b w:val="false"/>
          <w:i w:val="false"/>
          <w:caps w:val="false"/>
          <w:smallCaps w:val="false"/>
          <w:color w:val="000000"/>
          <w:spacing w:val="0"/>
          <w:sz w:val="18"/>
          <w:lang w:val="nl-NL"/>
        </w:rPr>
        <w:t> </w:t>
      </w:r>
      <w:bookmarkStart w:id="8" w:name="dc_68"/>
      <w:bookmarkEnd w:id="8"/>
      <w:r>
        <w:rPr>
          <w:rFonts w:ascii="Arial;sans-serif" w:hAnsi="Arial;sans-serif"/>
          <w:b w:val="false"/>
          <w:i/>
          <w:caps w:val="false"/>
          <w:smallCaps w:val="false"/>
          <w:strike w:val="false"/>
          <w:dstrike w:val="false"/>
          <w:color w:val="0000FF"/>
          <w:spacing w:val="0"/>
          <w:sz w:val="20"/>
          <w:u w:val="none"/>
          <w:effect w:val="none"/>
          <w:lang w:val="vi-VN"/>
        </w:rPr>
        <w:t>Điều 38 Nghị định số 200/2026/NĐ-CP</w:t>
      </w:r>
      <w:r>
        <w:rPr>
          <w:rFonts w:ascii="Arial;sans-serif" w:hAnsi="Arial;sans-serif"/>
          <w:b w:val="false"/>
          <w:i/>
          <w:caps w:val="false"/>
          <w:smallCaps w:val="false"/>
          <w:color w:val="000000"/>
          <w:spacing w:val="0"/>
          <w:sz w:val="20"/>
          <w:lang w:val="vi-VN"/>
        </w:rPr>
        <w:t>, không hàm ý Sở Giao dịch Chứng khoán xác nhận và đảm bảo cho đợt chào bán trái phiếu của doanh nghiệp.</w:t>
      </w:r>
    </w:p>
    <w:p>
      <w:pPr>
        <w:pStyle w:val="BodyText"/>
        <w:widowControl/>
        <w:pBdr/>
        <w:bidi w:val="0"/>
        <w:spacing w:lineRule="atLeast" w:line="225" w:before="0" w:after="0"/>
        <w:ind w:hanging="0" w:start="0" w:end="0"/>
        <w:jc w:val="center"/>
        <w:rPr>
          <w:rFonts w:ascii="Arial;sans-serif" w:hAnsi="Arial;sans-serif"/>
          <w:b w:val="false"/>
          <w:i w:val="false"/>
          <w:caps w:val="false"/>
          <w:smallCaps w:val="false"/>
          <w:strike w:val="false"/>
          <w:dstrike w:val="false"/>
          <w:color w:val="000000"/>
          <w:spacing w:val="0"/>
          <w:sz w:val="20"/>
          <w:u w:val="none"/>
          <w:effect w:val="none"/>
          <w:lang w:val="nl-NL"/>
        </w:rPr>
      </w:pPr>
      <w:r>
        <w:rPr>
          <w:rFonts w:ascii="Arial;sans-serif" w:hAnsi="Arial;sans-serif"/>
          <w:b w:val="false"/>
          <w:i w:val="false"/>
          <w:caps w:val="false"/>
          <w:smallCaps w:val="false"/>
          <w:strike w:val="false"/>
          <w:dstrike w:val="false"/>
          <w:color w:val="000000"/>
          <w:spacing w:val="0"/>
          <w:sz w:val="20"/>
          <w:u w:val="none"/>
          <w:effect w:val="none"/>
          <w:lang w:val="nl-NL"/>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Arial">
    <w:altName w:val="sans-serif"/>
    <w:charset w:val="00" w:characterSet="windows-1252"/>
    <w:family w:val="auto"/>
    <w:pitch w:val="default"/>
  </w:font>
  <w:font w:name="Arial">
    <w:altName w:val="Helvetica"/>
    <w:charset w:val="00" w:characterSet="windows-1252"/>
    <w:family w:val="auto"/>
    <w:pitch w:val="default"/>
  </w:font>
</w:fonts>
</file>

<file path=word/settings.xml><?xml version="1.0" encoding="utf-8"?>
<w:settings xmlns:w="http://schemas.openxmlformats.org/wordprocessingml/2006/main">
  <w:zoom w:percent="9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vi-VN"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8</TotalTime>
  <Application>LibreOffice/26.2.6.3$Windows_X86_64 LibreOffice_project/8221e31b3ac356a1623c672912a3d2b492f7e3d1</Application>
  <AppVersion>15.0000</AppVersion>
  <Pages>12</Pages>
  <Words>6009</Words>
  <Characters>21574</Characters>
  <CharactersWithSpaces>27345</CharactersWithSpaces>
  <Paragraphs>321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2026-10-08T08:39:15Z</dcterms:created>
  <dc:creator/>
  <dc:description/>
  <dc:language>vi-VN</dc:language>
  <cp:lastModifiedBy/>
  <dcterms:modified xsi:type="dcterms:W3CDTF">2026-10-08T08:47:16Z</dcterms:modified>
  <cp:revision>1</cp:revision>
  <dc:subject/>
  <dc:title/>
</cp:coreProperties>
</file>