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21106" w:rsidRPr="00621106" w:rsidRDefault="00621106" w:rsidP="00621106">
      <w:pPr>
        <w:pStyle w:val="NormalWeb"/>
        <w:shd w:val="clear" w:color="auto" w:fill="FFFFFF"/>
        <w:spacing w:before="0" w:beforeAutospacing="0" w:after="0" w:afterAutospacing="0" w:line="234" w:lineRule="atLeast"/>
        <w:jc w:val="center"/>
        <w:rPr>
          <w:color w:val="000000"/>
          <w:sz w:val="26"/>
          <w:szCs w:val="26"/>
        </w:rPr>
      </w:pPr>
      <w:bookmarkStart w:id="0" w:name="chuong_pl_4"/>
      <w:r w:rsidRPr="00621106">
        <w:rPr>
          <w:b/>
          <w:bCs/>
          <w:color w:val="000000"/>
          <w:sz w:val="26"/>
          <w:szCs w:val="26"/>
          <w:lang w:val="vi-VN"/>
        </w:rPr>
        <w:t>PHỤ LỤC SỐ IV</w:t>
      </w:r>
      <w:bookmarkEnd w:id="0"/>
    </w:p>
    <w:p w:rsidR="00621106" w:rsidRPr="00621106" w:rsidRDefault="00621106" w:rsidP="00621106">
      <w:pPr>
        <w:pStyle w:val="NormalWeb"/>
        <w:shd w:val="clear" w:color="auto" w:fill="FFFFFF"/>
        <w:spacing w:before="0" w:beforeAutospacing="0" w:after="0" w:afterAutospacing="0" w:line="234" w:lineRule="atLeast"/>
        <w:jc w:val="center"/>
        <w:rPr>
          <w:color w:val="000000"/>
          <w:sz w:val="26"/>
          <w:szCs w:val="26"/>
        </w:rPr>
      </w:pPr>
      <w:bookmarkStart w:id="1" w:name="chuong_pl_4_name"/>
      <w:r w:rsidRPr="00621106">
        <w:rPr>
          <w:color w:val="000000"/>
          <w:sz w:val="26"/>
          <w:szCs w:val="26"/>
          <w:lang w:val="vi-VN"/>
        </w:rPr>
        <w:t>MẪU QUY TRÌNH QUẢN TRỊ RỦI RO CỦA TỔ CHỨC PHÁT HÀNH CHỨNG QUYỀN CÓ BẢO ĐẢM</w:t>
      </w:r>
      <w:bookmarkEnd w:id="1"/>
      <w:r w:rsidRPr="00621106">
        <w:rPr>
          <w:color w:val="000000"/>
          <w:sz w:val="26"/>
          <w:szCs w:val="26"/>
        </w:rPr>
        <w:br/>
      </w:r>
      <w:r w:rsidRPr="00621106">
        <w:rPr>
          <w:i/>
          <w:iCs/>
          <w:color w:val="000000"/>
          <w:sz w:val="26"/>
          <w:szCs w:val="26"/>
          <w:lang w:val="vi-VN"/>
        </w:rPr>
        <w:t>(Kèm theo Thông tư số 122/2025/TT-BTC ngày 22 tháng 12 năm 2025 của Bộ trưởng Bộ Tài chính)</w:t>
      </w:r>
    </w:p>
    <w:p w:rsidR="00621106" w:rsidRPr="00621106" w:rsidRDefault="00621106" w:rsidP="00621106">
      <w:pPr>
        <w:pStyle w:val="NormalWeb"/>
        <w:shd w:val="clear" w:color="auto" w:fill="FFFFFF"/>
        <w:spacing w:before="120" w:beforeAutospacing="0" w:after="120" w:afterAutospacing="0" w:line="234" w:lineRule="atLeast"/>
        <w:rPr>
          <w:color w:val="000000"/>
          <w:sz w:val="26"/>
          <w:szCs w:val="26"/>
        </w:rPr>
      </w:pPr>
      <w:r w:rsidRPr="00621106">
        <w:rPr>
          <w:b/>
          <w:bCs/>
          <w:color w:val="000000"/>
          <w:sz w:val="26"/>
          <w:szCs w:val="26"/>
          <w:lang w:val="vi-VN"/>
        </w:rPr>
        <w:t>QUY TRÌNH QUẢN TRỊ RỦI RO CHỨNG QUYỀN CÓ BẢO ĐẢM</w:t>
      </w:r>
    </w:p>
    <w:p w:rsidR="00621106" w:rsidRPr="00621106" w:rsidRDefault="00621106" w:rsidP="00621106">
      <w:pPr>
        <w:pStyle w:val="NormalWeb"/>
        <w:shd w:val="clear" w:color="auto" w:fill="FFFFFF"/>
        <w:spacing w:before="120" w:beforeAutospacing="0" w:after="120" w:afterAutospacing="0" w:line="234" w:lineRule="atLeast"/>
        <w:rPr>
          <w:color w:val="000000"/>
          <w:sz w:val="26"/>
          <w:szCs w:val="26"/>
        </w:rPr>
      </w:pPr>
      <w:r w:rsidRPr="00621106">
        <w:rPr>
          <w:b/>
          <w:bCs/>
          <w:color w:val="000000"/>
          <w:sz w:val="26"/>
          <w:szCs w:val="26"/>
          <w:lang w:val="vi-VN"/>
        </w:rPr>
        <w:t>I. Mục tiêu</w:t>
      </w:r>
    </w:p>
    <w:p w:rsidR="00621106" w:rsidRPr="00621106" w:rsidRDefault="00621106" w:rsidP="00621106">
      <w:pPr>
        <w:pStyle w:val="NormalWeb"/>
        <w:shd w:val="clear" w:color="auto" w:fill="FFFFFF"/>
        <w:spacing w:before="120" w:beforeAutospacing="0" w:after="120" w:afterAutospacing="0" w:line="234" w:lineRule="atLeast"/>
        <w:rPr>
          <w:color w:val="000000"/>
          <w:sz w:val="26"/>
          <w:szCs w:val="26"/>
        </w:rPr>
      </w:pPr>
      <w:r w:rsidRPr="00621106">
        <w:rPr>
          <w:color w:val="000000"/>
          <w:sz w:val="26"/>
          <w:szCs w:val="26"/>
          <w:lang w:val="vi-VN"/>
        </w:rPr>
        <w:t>- Nhận diện được các rủi ro tiềm năng có thể xảy ra đối với hoạt động kinh doanh chứng quyền có bảo đảm của tổ chức phát hành.</w:t>
      </w:r>
    </w:p>
    <w:p w:rsidR="00621106" w:rsidRPr="00621106" w:rsidRDefault="00621106" w:rsidP="00621106">
      <w:pPr>
        <w:pStyle w:val="NormalWeb"/>
        <w:shd w:val="clear" w:color="auto" w:fill="FFFFFF"/>
        <w:spacing w:before="120" w:beforeAutospacing="0" w:after="120" w:afterAutospacing="0" w:line="234" w:lineRule="atLeast"/>
        <w:rPr>
          <w:color w:val="000000"/>
          <w:sz w:val="26"/>
          <w:szCs w:val="26"/>
        </w:rPr>
      </w:pPr>
      <w:r w:rsidRPr="00621106">
        <w:rPr>
          <w:color w:val="000000"/>
          <w:sz w:val="26"/>
          <w:szCs w:val="26"/>
          <w:lang w:val="vi-VN"/>
        </w:rPr>
        <w:t>- Xử lý một cách nhanh chóng và hiệu quả đối với các vấn đề liên quan đến các rủi ro đã được nhận diện.</w:t>
      </w:r>
    </w:p>
    <w:p w:rsidR="00621106" w:rsidRPr="00621106" w:rsidRDefault="00621106" w:rsidP="00621106">
      <w:pPr>
        <w:pStyle w:val="NormalWeb"/>
        <w:shd w:val="clear" w:color="auto" w:fill="FFFFFF"/>
        <w:spacing w:before="120" w:beforeAutospacing="0" w:after="120" w:afterAutospacing="0" w:line="234" w:lineRule="atLeast"/>
        <w:rPr>
          <w:color w:val="000000"/>
          <w:sz w:val="26"/>
          <w:szCs w:val="26"/>
        </w:rPr>
      </w:pPr>
      <w:r w:rsidRPr="00621106">
        <w:rPr>
          <w:color w:val="000000"/>
          <w:sz w:val="26"/>
          <w:szCs w:val="26"/>
          <w:lang w:val="vi-VN"/>
        </w:rPr>
        <w:t>- Đảm bảo tính thống nhất giữa</w:t>
      </w:r>
      <w:bookmarkStart w:id="2" w:name="_GoBack"/>
      <w:bookmarkEnd w:id="2"/>
      <w:r w:rsidRPr="00621106">
        <w:rPr>
          <w:color w:val="000000"/>
          <w:sz w:val="26"/>
          <w:szCs w:val="26"/>
          <w:lang w:val="vi-VN"/>
        </w:rPr>
        <w:t xml:space="preserve"> các bộ phận có liên quan trong quá trình quản trị rủi ro, đảm bảo hạn chế ở mức thấp nhất các rủi ro có thể xảy ra trong hoạt động kinh doanh sản phẩm chứng quyền có bảo đảm.</w:t>
      </w:r>
    </w:p>
    <w:p w:rsidR="00621106" w:rsidRPr="00621106" w:rsidRDefault="00621106" w:rsidP="00621106">
      <w:pPr>
        <w:pStyle w:val="NormalWeb"/>
        <w:shd w:val="clear" w:color="auto" w:fill="FFFFFF"/>
        <w:spacing w:before="120" w:beforeAutospacing="0" w:after="120" w:afterAutospacing="0" w:line="234" w:lineRule="atLeast"/>
        <w:rPr>
          <w:color w:val="000000"/>
          <w:sz w:val="26"/>
          <w:szCs w:val="26"/>
        </w:rPr>
      </w:pPr>
      <w:r w:rsidRPr="00621106">
        <w:rPr>
          <w:b/>
          <w:bCs/>
          <w:color w:val="000000"/>
          <w:sz w:val="26"/>
          <w:szCs w:val="26"/>
          <w:lang w:val="vi-VN"/>
        </w:rPr>
        <w:t>II. Quy trình quản trị rủi ro chứng quyền có bảo đảm</w:t>
      </w:r>
    </w:p>
    <w:p w:rsidR="00621106" w:rsidRPr="00621106" w:rsidRDefault="00621106" w:rsidP="00621106">
      <w:pPr>
        <w:pStyle w:val="NormalWeb"/>
        <w:shd w:val="clear" w:color="auto" w:fill="FFFFFF"/>
        <w:spacing w:before="120" w:beforeAutospacing="0" w:after="120" w:afterAutospacing="0" w:line="234" w:lineRule="atLeast"/>
        <w:rPr>
          <w:color w:val="000000"/>
          <w:sz w:val="26"/>
          <w:szCs w:val="26"/>
        </w:rPr>
      </w:pPr>
      <w:r w:rsidRPr="00621106">
        <w:rPr>
          <w:color w:val="000000"/>
          <w:sz w:val="26"/>
          <w:szCs w:val="26"/>
          <w:lang w:val="vi-VN"/>
        </w:rPr>
        <w:t>Quy trình quản trị rủi ro chứng quyền có bảo đảm là một chuỗi các bước được thực hiện liên tục nhằm hạn chế thấp nhất các rủi ro xảy ra đối với tổ chức phát hành. Để quản trị rủi ro hiệu quả, tổ chức phát hành cần tuân thủ tối thiểu các bước sau:</w:t>
      </w:r>
    </w:p>
    <w:p w:rsidR="00621106" w:rsidRPr="00621106" w:rsidRDefault="00621106" w:rsidP="00621106">
      <w:pPr>
        <w:pStyle w:val="NormalWeb"/>
        <w:shd w:val="clear" w:color="auto" w:fill="FFFFFF"/>
        <w:spacing w:before="120" w:beforeAutospacing="0" w:after="120" w:afterAutospacing="0" w:line="234" w:lineRule="atLeast"/>
        <w:rPr>
          <w:color w:val="000000"/>
          <w:sz w:val="26"/>
          <w:szCs w:val="26"/>
        </w:rPr>
      </w:pPr>
      <w:r w:rsidRPr="00621106">
        <w:rPr>
          <w:b/>
          <w:bCs/>
          <w:color w:val="000000"/>
          <w:sz w:val="26"/>
          <w:szCs w:val="26"/>
          <w:lang w:val="vi-VN"/>
        </w:rPr>
        <w:t>Bước 1: Nhận diện rủi ro đối với chứng quyền có bảo đảm</w:t>
      </w:r>
    </w:p>
    <w:p w:rsidR="00621106" w:rsidRPr="00621106" w:rsidRDefault="00621106" w:rsidP="00621106">
      <w:pPr>
        <w:pStyle w:val="NormalWeb"/>
        <w:shd w:val="clear" w:color="auto" w:fill="FFFFFF"/>
        <w:spacing w:before="120" w:beforeAutospacing="0" w:after="120" w:afterAutospacing="0" w:line="234" w:lineRule="atLeast"/>
        <w:rPr>
          <w:color w:val="000000"/>
          <w:sz w:val="26"/>
          <w:szCs w:val="26"/>
        </w:rPr>
      </w:pPr>
      <w:r w:rsidRPr="00621106">
        <w:rPr>
          <w:color w:val="000000"/>
          <w:sz w:val="26"/>
          <w:szCs w:val="26"/>
          <w:lang w:val="vi-VN"/>
        </w:rPr>
        <w:t>Các rủi ro thường gặp đối với tổ chức phát hành chứng quyền có bảo đảm:</w:t>
      </w:r>
    </w:p>
    <w:p w:rsidR="00621106" w:rsidRPr="00621106" w:rsidRDefault="00621106" w:rsidP="00621106">
      <w:pPr>
        <w:pStyle w:val="NormalWeb"/>
        <w:shd w:val="clear" w:color="auto" w:fill="FFFFFF"/>
        <w:spacing w:before="120" w:beforeAutospacing="0" w:after="120" w:afterAutospacing="0" w:line="234" w:lineRule="atLeast"/>
        <w:rPr>
          <w:color w:val="000000"/>
          <w:sz w:val="26"/>
          <w:szCs w:val="26"/>
        </w:rPr>
      </w:pPr>
      <w:r w:rsidRPr="00621106">
        <w:rPr>
          <w:i/>
          <w:iCs/>
          <w:color w:val="000000"/>
          <w:sz w:val="26"/>
          <w:szCs w:val="26"/>
          <w:lang w:val="vi-VN"/>
        </w:rPr>
        <w:t>- Rủi ro thanh toán:</w:t>
      </w:r>
      <w:r w:rsidRPr="00621106">
        <w:rPr>
          <w:color w:val="000000"/>
          <w:sz w:val="26"/>
          <w:szCs w:val="26"/>
          <w:lang w:val="vi-VN"/>
        </w:rPr>
        <w:t> Rủi ro khi tổ chức phát hành không thể thực hiện được các nghĩa vụ đã cam kết đối với nhà đầu tư, chẳng hạn như tổ chức phát hành chứng quyền có bảo đảm bị mất khả năng thanh toán khi nhà đầu tư thực hiện quyền.</w:t>
      </w:r>
    </w:p>
    <w:p w:rsidR="00621106" w:rsidRPr="00621106" w:rsidRDefault="00621106" w:rsidP="00621106">
      <w:pPr>
        <w:pStyle w:val="NormalWeb"/>
        <w:shd w:val="clear" w:color="auto" w:fill="FFFFFF"/>
        <w:spacing w:before="120" w:beforeAutospacing="0" w:after="120" w:afterAutospacing="0" w:line="234" w:lineRule="atLeast"/>
        <w:rPr>
          <w:color w:val="000000"/>
          <w:sz w:val="26"/>
          <w:szCs w:val="26"/>
        </w:rPr>
      </w:pPr>
      <w:r w:rsidRPr="00621106">
        <w:rPr>
          <w:i/>
          <w:iCs/>
          <w:color w:val="000000"/>
          <w:sz w:val="26"/>
          <w:szCs w:val="26"/>
          <w:lang w:val="vi-VN"/>
        </w:rPr>
        <w:t>- Rủi ro thị trường:</w:t>
      </w:r>
      <w:r w:rsidRPr="00621106">
        <w:rPr>
          <w:color w:val="000000"/>
          <w:sz w:val="26"/>
          <w:szCs w:val="26"/>
          <w:lang w:val="vi-VN"/>
        </w:rPr>
        <w:t> Rủi ro do sự thay đổi giá của chứng quyền có bảo đảm và giá của tài sản cơ sở.</w:t>
      </w:r>
    </w:p>
    <w:p w:rsidR="00621106" w:rsidRPr="00621106" w:rsidRDefault="00621106" w:rsidP="00621106">
      <w:pPr>
        <w:pStyle w:val="NormalWeb"/>
        <w:shd w:val="clear" w:color="auto" w:fill="FFFFFF"/>
        <w:spacing w:before="120" w:beforeAutospacing="0" w:after="120" w:afterAutospacing="0" w:line="234" w:lineRule="atLeast"/>
        <w:rPr>
          <w:color w:val="000000"/>
          <w:sz w:val="26"/>
          <w:szCs w:val="26"/>
        </w:rPr>
      </w:pPr>
      <w:r w:rsidRPr="00621106">
        <w:rPr>
          <w:i/>
          <w:iCs/>
          <w:color w:val="000000"/>
          <w:sz w:val="26"/>
          <w:szCs w:val="26"/>
          <w:lang w:val="vi-VN"/>
        </w:rPr>
        <w:t>- Rủi ro pháp lý:</w:t>
      </w:r>
      <w:r w:rsidRPr="00621106">
        <w:rPr>
          <w:color w:val="000000"/>
          <w:sz w:val="26"/>
          <w:szCs w:val="26"/>
          <w:lang w:val="vi-VN"/>
        </w:rPr>
        <w:t> Rủi ro khi tổ chức phát hành vi phạm hoặc không tuân thủ các quy định và quy tắc của pháp luật hiện hành, dẫn đến bị phạt, cảnh cáo, tạm ngừng hoạt động hoặc bị rút giấy phép nghiệp vụ, đăng ký kinh doanh.</w:t>
      </w:r>
    </w:p>
    <w:p w:rsidR="00621106" w:rsidRPr="00621106" w:rsidRDefault="00621106" w:rsidP="00621106">
      <w:pPr>
        <w:pStyle w:val="NormalWeb"/>
        <w:shd w:val="clear" w:color="auto" w:fill="FFFFFF"/>
        <w:spacing w:before="120" w:beforeAutospacing="0" w:after="120" w:afterAutospacing="0" w:line="234" w:lineRule="atLeast"/>
        <w:rPr>
          <w:color w:val="000000"/>
          <w:sz w:val="26"/>
          <w:szCs w:val="26"/>
        </w:rPr>
      </w:pPr>
      <w:r w:rsidRPr="00621106">
        <w:rPr>
          <w:i/>
          <w:iCs/>
          <w:color w:val="000000"/>
          <w:sz w:val="26"/>
          <w:szCs w:val="26"/>
          <w:lang w:val="vi-VN"/>
        </w:rPr>
        <w:t>- Rủi ro hoạt động:</w:t>
      </w:r>
      <w:r w:rsidRPr="00621106">
        <w:rPr>
          <w:color w:val="000000"/>
          <w:sz w:val="26"/>
          <w:szCs w:val="26"/>
          <w:lang w:val="vi-VN"/>
        </w:rPr>
        <w:t> Rủi ro do các lý do công nghệ (ví dụ hacker đánh sập hệ thống công nghệ thông tin), nhân viên (lừa đảo, sai sót do cố tình hoặc vô tình), tài sản vốn, các lý do bên ngoài (thiên tai, chiến tranh….).</w:t>
      </w:r>
    </w:p>
    <w:p w:rsidR="00621106" w:rsidRPr="00621106" w:rsidRDefault="00621106" w:rsidP="00621106">
      <w:pPr>
        <w:pStyle w:val="NormalWeb"/>
        <w:shd w:val="clear" w:color="auto" w:fill="FFFFFF"/>
        <w:spacing w:before="120" w:beforeAutospacing="0" w:after="120" w:afterAutospacing="0" w:line="234" w:lineRule="atLeast"/>
        <w:rPr>
          <w:color w:val="000000"/>
          <w:sz w:val="26"/>
          <w:szCs w:val="26"/>
        </w:rPr>
      </w:pPr>
      <w:r w:rsidRPr="00621106">
        <w:rPr>
          <w:i/>
          <w:iCs/>
          <w:color w:val="000000"/>
          <w:sz w:val="26"/>
          <w:szCs w:val="26"/>
          <w:lang w:val="vi-VN"/>
        </w:rPr>
        <w:t>- Các rủi ro khác:</w:t>
      </w:r>
      <w:r w:rsidRPr="00621106">
        <w:rPr>
          <w:color w:val="000000"/>
          <w:sz w:val="26"/>
          <w:szCs w:val="26"/>
          <w:lang w:val="vi-VN"/>
        </w:rPr>
        <w:t> theo đặc thù hoạt động của tổ chức phát hành.</w:t>
      </w:r>
    </w:p>
    <w:p w:rsidR="00621106" w:rsidRPr="00621106" w:rsidRDefault="00621106" w:rsidP="00621106">
      <w:pPr>
        <w:pStyle w:val="NormalWeb"/>
        <w:shd w:val="clear" w:color="auto" w:fill="FFFFFF"/>
        <w:spacing w:before="120" w:beforeAutospacing="0" w:after="120" w:afterAutospacing="0" w:line="234" w:lineRule="atLeast"/>
        <w:rPr>
          <w:color w:val="000000"/>
          <w:sz w:val="26"/>
          <w:szCs w:val="26"/>
        </w:rPr>
      </w:pPr>
      <w:r w:rsidRPr="00621106">
        <w:rPr>
          <w:b/>
          <w:bCs/>
          <w:color w:val="000000"/>
          <w:sz w:val="26"/>
          <w:szCs w:val="26"/>
          <w:lang w:val="vi-VN"/>
        </w:rPr>
        <w:t>Bước 2: Phân tích rủi ro</w:t>
      </w:r>
    </w:p>
    <w:p w:rsidR="00621106" w:rsidRPr="00621106" w:rsidRDefault="00621106" w:rsidP="00621106">
      <w:pPr>
        <w:pStyle w:val="NormalWeb"/>
        <w:shd w:val="clear" w:color="auto" w:fill="FFFFFF"/>
        <w:spacing w:before="120" w:beforeAutospacing="0" w:after="120" w:afterAutospacing="0" w:line="234" w:lineRule="atLeast"/>
        <w:rPr>
          <w:color w:val="000000"/>
          <w:sz w:val="26"/>
          <w:szCs w:val="26"/>
        </w:rPr>
      </w:pPr>
      <w:r w:rsidRPr="00621106">
        <w:rPr>
          <w:color w:val="000000"/>
          <w:sz w:val="26"/>
          <w:szCs w:val="26"/>
          <w:lang w:val="vi-VN"/>
        </w:rPr>
        <w:t>Dựa trên các rủi ro liệt kê ở bước 1, cán bộ rủi ro của từng bộ phận trong công ty sẽ đánh giá về khả năng hay xác suất rủi ro đó xảy ra và mức độ tác động. Trên cơ sở đó sẽ phân loại và xếp hạng từng loại rủi ro để có những biện pháp xử lý phù hợp.</w:t>
      </w:r>
    </w:p>
    <w:p w:rsidR="00621106" w:rsidRPr="00621106" w:rsidRDefault="00621106" w:rsidP="00621106">
      <w:pPr>
        <w:pStyle w:val="NormalWeb"/>
        <w:shd w:val="clear" w:color="auto" w:fill="FFFFFF"/>
        <w:spacing w:before="120" w:beforeAutospacing="0" w:after="120" w:afterAutospacing="0" w:line="234" w:lineRule="atLeast"/>
        <w:rPr>
          <w:color w:val="000000"/>
          <w:sz w:val="26"/>
          <w:szCs w:val="26"/>
        </w:rPr>
      </w:pPr>
      <w:r w:rsidRPr="00621106">
        <w:rPr>
          <w:color w:val="000000"/>
          <w:sz w:val="26"/>
          <w:szCs w:val="26"/>
          <w:lang w:val="vi-VN"/>
        </w:rPr>
        <w:lastRenderedPageBreak/>
        <w:t>Tổ chức phát hành nêu phương pháp đánh giá đối với từng rủi ro. Chẳng hạn như việc so sánh vị thế phòng ngừa rủi ro lý thuyết với vị thế phòng ngừa rủi ro thực tế cho các chứng quyền có bảo đảm đang lưu hành.</w:t>
      </w:r>
    </w:p>
    <w:p w:rsidR="00621106" w:rsidRPr="00621106" w:rsidRDefault="00621106" w:rsidP="00621106">
      <w:pPr>
        <w:pStyle w:val="NormalWeb"/>
        <w:shd w:val="clear" w:color="auto" w:fill="FFFFFF"/>
        <w:spacing w:before="120" w:beforeAutospacing="0" w:after="120" w:afterAutospacing="0" w:line="234" w:lineRule="atLeast"/>
        <w:rPr>
          <w:color w:val="000000"/>
          <w:sz w:val="26"/>
          <w:szCs w:val="26"/>
        </w:rPr>
      </w:pPr>
      <w:r w:rsidRPr="00621106">
        <w:rPr>
          <w:b/>
          <w:bCs/>
          <w:color w:val="000000"/>
          <w:sz w:val="26"/>
          <w:szCs w:val="26"/>
          <w:lang w:val="vi-VN"/>
        </w:rPr>
        <w:t>Bước 3: Kiểm soát rủi ro</w:t>
      </w:r>
    </w:p>
    <w:p w:rsidR="00621106" w:rsidRPr="00621106" w:rsidRDefault="00621106" w:rsidP="00621106">
      <w:pPr>
        <w:pStyle w:val="NormalWeb"/>
        <w:shd w:val="clear" w:color="auto" w:fill="FFFFFF"/>
        <w:spacing w:before="120" w:beforeAutospacing="0" w:after="120" w:afterAutospacing="0" w:line="234" w:lineRule="atLeast"/>
        <w:rPr>
          <w:color w:val="000000"/>
          <w:sz w:val="26"/>
          <w:szCs w:val="26"/>
        </w:rPr>
      </w:pPr>
      <w:r w:rsidRPr="00621106">
        <w:rPr>
          <w:color w:val="000000"/>
          <w:sz w:val="26"/>
          <w:szCs w:val="26"/>
          <w:lang w:val="vi-VN"/>
        </w:rPr>
        <w:t>Việc phân tích, đánh giá rủi ro sẽ giúp công ty xây dựng được chiến lược kiểm soát rủi ro thông qua việc lựa chọn chiến lược giải quyết hay đối phó với các rủi ro cho phù hợp. Các chiến lược thường được áp dụng để giải quyết hay đối phó với rủi ro là: tránh rủi ro, chuyển giao rủi ro, giảm nhẹ rủi ro, chấp nhận rủi ro.</w:t>
      </w:r>
    </w:p>
    <w:p w:rsidR="00621106" w:rsidRPr="00621106" w:rsidRDefault="00621106" w:rsidP="00621106">
      <w:pPr>
        <w:pStyle w:val="NormalWeb"/>
        <w:shd w:val="clear" w:color="auto" w:fill="FFFFFF"/>
        <w:spacing w:before="120" w:beforeAutospacing="0" w:after="120" w:afterAutospacing="0" w:line="234" w:lineRule="atLeast"/>
        <w:rPr>
          <w:color w:val="000000"/>
          <w:sz w:val="26"/>
          <w:szCs w:val="26"/>
        </w:rPr>
      </w:pPr>
      <w:r w:rsidRPr="00621106">
        <w:rPr>
          <w:color w:val="000000"/>
          <w:sz w:val="26"/>
          <w:szCs w:val="26"/>
          <w:lang w:val="vi-VN"/>
        </w:rPr>
        <w:t>Chẳng hạn, sau khi xác định được các rủi ro trọng yếu, các bộ phận có liên quan đến quản trị rủi ro cần phối hợp để tính toán và đưa ra các mức cảnh báo hoặc các tham số mục tiêu, từ đó đưa ra các phương án cũng như chiến lược để phòng ngừa rủi ro nhằm kiểm soát các rủi ro có thể ảnh hưởng đến hoạt động kinh doanh chứng quyền có bảo đảm của công ty.</w:t>
      </w:r>
    </w:p>
    <w:p w:rsidR="00621106" w:rsidRPr="00621106" w:rsidRDefault="00621106" w:rsidP="00621106">
      <w:pPr>
        <w:pStyle w:val="NormalWeb"/>
        <w:shd w:val="clear" w:color="auto" w:fill="FFFFFF"/>
        <w:spacing w:before="120" w:beforeAutospacing="0" w:after="120" w:afterAutospacing="0" w:line="234" w:lineRule="atLeast"/>
        <w:rPr>
          <w:color w:val="000000"/>
          <w:sz w:val="26"/>
          <w:szCs w:val="26"/>
        </w:rPr>
      </w:pPr>
      <w:r w:rsidRPr="00621106">
        <w:rPr>
          <w:b/>
          <w:bCs/>
          <w:color w:val="000000"/>
          <w:sz w:val="26"/>
          <w:szCs w:val="26"/>
          <w:lang w:val="vi-VN"/>
        </w:rPr>
        <w:t>Ví dụ 1:</w:t>
      </w:r>
      <w:r w:rsidRPr="00621106">
        <w:rPr>
          <w:color w:val="000000"/>
          <w:sz w:val="26"/>
          <w:szCs w:val="26"/>
          <w:lang w:val="vi-VN"/>
        </w:rPr>
        <w:t> Phương án phòng ngừa rủi ro thị trường:</w:t>
      </w:r>
    </w:p>
    <w:p w:rsidR="00621106" w:rsidRPr="00621106" w:rsidRDefault="00621106" w:rsidP="00621106">
      <w:pPr>
        <w:pStyle w:val="NormalWeb"/>
        <w:shd w:val="clear" w:color="auto" w:fill="FFFFFF"/>
        <w:spacing w:before="120" w:beforeAutospacing="0" w:after="120" w:afterAutospacing="0" w:line="234" w:lineRule="atLeast"/>
        <w:rPr>
          <w:color w:val="000000"/>
          <w:sz w:val="26"/>
          <w:szCs w:val="26"/>
        </w:rPr>
      </w:pPr>
      <w:r w:rsidRPr="00621106">
        <w:rPr>
          <w:color w:val="000000"/>
          <w:sz w:val="26"/>
          <w:szCs w:val="26"/>
          <w:lang w:val="vi-VN"/>
        </w:rPr>
        <w:t>- Nguyên tắc phòng ngừa rủi ro: duy trì hệ số phòng ngừa rủi ro trung hòa delta.</w:t>
      </w:r>
    </w:p>
    <w:p w:rsidR="00621106" w:rsidRPr="00621106" w:rsidRDefault="00621106" w:rsidP="00621106">
      <w:pPr>
        <w:pStyle w:val="NormalWeb"/>
        <w:shd w:val="clear" w:color="auto" w:fill="FFFFFF"/>
        <w:spacing w:before="120" w:beforeAutospacing="0" w:after="120" w:afterAutospacing="0" w:line="234" w:lineRule="atLeast"/>
        <w:rPr>
          <w:color w:val="000000"/>
          <w:sz w:val="26"/>
          <w:szCs w:val="26"/>
        </w:rPr>
      </w:pPr>
      <w:r w:rsidRPr="00621106">
        <w:rPr>
          <w:color w:val="000000"/>
          <w:sz w:val="26"/>
          <w:szCs w:val="26"/>
          <w:lang w:val="vi-VN"/>
        </w:rPr>
        <w:t>- Cách thức thực hiện: mua/bán chứng khoán cơ sở hoặc mua chứng quyền có bảo đảm của tổ chức phát hành khác.</w:t>
      </w:r>
    </w:p>
    <w:p w:rsidR="00621106" w:rsidRPr="00621106" w:rsidRDefault="00621106" w:rsidP="00621106">
      <w:pPr>
        <w:pStyle w:val="NormalWeb"/>
        <w:shd w:val="clear" w:color="auto" w:fill="FFFFFF"/>
        <w:spacing w:before="120" w:beforeAutospacing="0" w:after="120" w:afterAutospacing="0" w:line="234" w:lineRule="atLeast"/>
        <w:rPr>
          <w:color w:val="000000"/>
          <w:sz w:val="26"/>
          <w:szCs w:val="26"/>
        </w:rPr>
      </w:pPr>
      <w:r w:rsidRPr="00621106">
        <w:rPr>
          <w:color w:val="000000"/>
          <w:sz w:val="26"/>
          <w:szCs w:val="26"/>
          <w:lang w:val="vi-VN"/>
        </w:rPr>
        <w:t>- Cơ sở vật chất để thực hiện: hệ thống thực hiện,…</w:t>
      </w:r>
    </w:p>
    <w:p w:rsidR="00621106" w:rsidRPr="00621106" w:rsidRDefault="00621106" w:rsidP="00621106">
      <w:pPr>
        <w:pStyle w:val="NormalWeb"/>
        <w:shd w:val="clear" w:color="auto" w:fill="FFFFFF"/>
        <w:spacing w:before="120" w:beforeAutospacing="0" w:after="120" w:afterAutospacing="0" w:line="234" w:lineRule="atLeast"/>
        <w:rPr>
          <w:color w:val="000000"/>
          <w:sz w:val="26"/>
          <w:szCs w:val="26"/>
        </w:rPr>
      </w:pPr>
      <w:r w:rsidRPr="00621106">
        <w:rPr>
          <w:b/>
          <w:bCs/>
          <w:color w:val="000000"/>
          <w:sz w:val="26"/>
          <w:szCs w:val="26"/>
          <w:lang w:val="vi-VN"/>
        </w:rPr>
        <w:t>Ví dụ 2:</w:t>
      </w:r>
      <w:r w:rsidRPr="00621106">
        <w:rPr>
          <w:color w:val="000000"/>
          <w:sz w:val="26"/>
          <w:szCs w:val="26"/>
          <w:lang w:val="vi-VN"/>
        </w:rPr>
        <w:t> Phương án phòng ngừa rủi ro pháp lý </w:t>
      </w:r>
      <w:r w:rsidRPr="00621106">
        <w:rPr>
          <w:i/>
          <w:iCs/>
          <w:color w:val="000000"/>
          <w:sz w:val="26"/>
          <w:szCs w:val="26"/>
          <w:lang w:val="vi-VN"/>
        </w:rPr>
        <w:t>(giả sử tổ chức phát hành tổ chức thực hiện việc phòng ngừa rủi ro vi phạm nghĩa vụ tạo lập thị trường dẫn đến việc chứng quyền có bảo đảm bị tạm ngừng giao dịch)</w:t>
      </w:r>
    </w:p>
    <w:p w:rsidR="00621106" w:rsidRPr="00621106" w:rsidRDefault="00621106" w:rsidP="00621106">
      <w:pPr>
        <w:pStyle w:val="NormalWeb"/>
        <w:shd w:val="clear" w:color="auto" w:fill="FFFFFF"/>
        <w:spacing w:before="120" w:beforeAutospacing="0" w:after="120" w:afterAutospacing="0" w:line="234" w:lineRule="atLeast"/>
        <w:rPr>
          <w:color w:val="000000"/>
          <w:sz w:val="26"/>
          <w:szCs w:val="26"/>
        </w:rPr>
      </w:pPr>
      <w:r w:rsidRPr="00621106">
        <w:rPr>
          <w:color w:val="000000"/>
          <w:sz w:val="26"/>
          <w:szCs w:val="26"/>
          <w:lang w:val="vi-VN"/>
        </w:rPr>
        <w:t>- Nguyên tắc: đảm bảo tuân thủ nghĩa vụ tạo lập thị trường.</w:t>
      </w:r>
    </w:p>
    <w:p w:rsidR="00621106" w:rsidRPr="00621106" w:rsidRDefault="00621106" w:rsidP="00621106">
      <w:pPr>
        <w:pStyle w:val="NormalWeb"/>
        <w:shd w:val="clear" w:color="auto" w:fill="FFFFFF"/>
        <w:spacing w:before="120" w:beforeAutospacing="0" w:after="120" w:afterAutospacing="0" w:line="234" w:lineRule="atLeast"/>
        <w:rPr>
          <w:color w:val="000000"/>
          <w:sz w:val="26"/>
          <w:szCs w:val="26"/>
        </w:rPr>
      </w:pPr>
      <w:r w:rsidRPr="00621106">
        <w:rPr>
          <w:color w:val="000000"/>
          <w:sz w:val="26"/>
          <w:szCs w:val="26"/>
          <w:lang w:val="vi-VN"/>
        </w:rPr>
        <w:t>- Cách thức thực hiện: chủ động xây dựng các chương trình nhằm tuân thủ đúng các quy định về tạo lập thị trường theo Quy chế của Sở giao dịch chứng khoán.</w:t>
      </w:r>
    </w:p>
    <w:p w:rsidR="00621106" w:rsidRPr="00621106" w:rsidRDefault="00621106" w:rsidP="00621106">
      <w:pPr>
        <w:pStyle w:val="NormalWeb"/>
        <w:shd w:val="clear" w:color="auto" w:fill="FFFFFF"/>
        <w:spacing w:before="120" w:beforeAutospacing="0" w:after="120" w:afterAutospacing="0" w:line="234" w:lineRule="atLeast"/>
        <w:rPr>
          <w:color w:val="000000"/>
          <w:sz w:val="26"/>
          <w:szCs w:val="26"/>
        </w:rPr>
      </w:pPr>
      <w:r w:rsidRPr="00621106">
        <w:rPr>
          <w:color w:val="000000"/>
          <w:sz w:val="26"/>
          <w:szCs w:val="26"/>
          <w:lang w:val="vi-VN"/>
        </w:rPr>
        <w:t>- Phương tiện thực hiện: xây dựng hệ thống tự động về tạo lập thị trường,…</w:t>
      </w:r>
    </w:p>
    <w:p w:rsidR="00621106" w:rsidRPr="00621106" w:rsidRDefault="00621106" w:rsidP="00621106">
      <w:pPr>
        <w:pStyle w:val="NormalWeb"/>
        <w:shd w:val="clear" w:color="auto" w:fill="FFFFFF"/>
        <w:spacing w:before="120" w:beforeAutospacing="0" w:after="120" w:afterAutospacing="0" w:line="234" w:lineRule="atLeast"/>
        <w:rPr>
          <w:color w:val="000000"/>
          <w:sz w:val="26"/>
          <w:szCs w:val="26"/>
        </w:rPr>
      </w:pPr>
      <w:r w:rsidRPr="00621106">
        <w:rPr>
          <w:b/>
          <w:bCs/>
          <w:color w:val="000000"/>
          <w:sz w:val="26"/>
          <w:szCs w:val="26"/>
          <w:lang w:val="vi-VN"/>
        </w:rPr>
        <w:t>Bước 4: Giám sát hoạt động quản trị rủi ro</w:t>
      </w:r>
    </w:p>
    <w:p w:rsidR="00621106" w:rsidRPr="00621106" w:rsidRDefault="00621106" w:rsidP="00621106">
      <w:pPr>
        <w:pStyle w:val="NormalWeb"/>
        <w:shd w:val="clear" w:color="auto" w:fill="FFFFFF"/>
        <w:spacing w:before="120" w:beforeAutospacing="0" w:after="120" w:afterAutospacing="0" w:line="234" w:lineRule="atLeast"/>
        <w:rPr>
          <w:color w:val="000000"/>
          <w:sz w:val="26"/>
          <w:szCs w:val="26"/>
        </w:rPr>
      </w:pPr>
      <w:r w:rsidRPr="00621106">
        <w:rPr>
          <w:color w:val="000000"/>
          <w:sz w:val="26"/>
          <w:szCs w:val="26"/>
          <w:lang w:val="vi-VN"/>
        </w:rPr>
        <w:t>Hoạt động cuối cùng trong quy trình quản trị rủi ro thường là hoạt động giám sát và trao đổi thông tin nhằm đánh giá lại toàn bộ quá trình nhận diện rủi ro, phân tích rủi ro, kiểm soát và đối phó với rủi ro của công ty. Tiến độ thực hiện các kế hoạch kiểm soát rủi ro cho các rủi ro cụ thể cần được thông báo lên cấp trên và các phòng ban liên quan để chủ động thực hiện các hành động sửa chữa phù hợp.</w:t>
      </w:r>
    </w:p>
    <w:p w:rsidR="00621106" w:rsidRPr="00621106" w:rsidRDefault="00621106" w:rsidP="00621106">
      <w:pPr>
        <w:pStyle w:val="NormalWeb"/>
        <w:shd w:val="clear" w:color="auto" w:fill="FFFFFF"/>
        <w:spacing w:before="120" w:beforeAutospacing="0" w:after="120" w:afterAutospacing="0" w:line="234" w:lineRule="atLeast"/>
        <w:rPr>
          <w:color w:val="000000"/>
          <w:sz w:val="26"/>
          <w:szCs w:val="26"/>
        </w:rPr>
      </w:pPr>
      <w:r w:rsidRPr="00621106">
        <w:rPr>
          <w:color w:val="000000"/>
          <w:sz w:val="26"/>
          <w:szCs w:val="26"/>
          <w:lang w:val="vi-VN"/>
        </w:rPr>
        <w:t>Trong bước này, tổ chức phát hành cần cụ thể hóa vai trò kiểm tra, giám sát cũng như việc phân cấp và phân quyền giữa các chủ thể trong hệ thống quản trị rủi ro của tổ chức phát hành chứng quyền có bảo đảm.</w:t>
      </w:r>
    </w:p>
    <w:p w:rsidR="00621106" w:rsidRPr="00621106" w:rsidRDefault="00621106" w:rsidP="00621106">
      <w:pPr>
        <w:pStyle w:val="NormalWeb"/>
        <w:shd w:val="clear" w:color="auto" w:fill="FFFFFF"/>
        <w:spacing w:before="120" w:beforeAutospacing="0" w:after="120" w:afterAutospacing="0" w:line="234" w:lineRule="atLeast"/>
        <w:rPr>
          <w:color w:val="000000"/>
          <w:sz w:val="26"/>
          <w:szCs w:val="26"/>
        </w:rPr>
      </w:pPr>
      <w:r w:rsidRPr="00621106">
        <w:rPr>
          <w:color w:val="000000"/>
          <w:sz w:val="26"/>
          <w:szCs w:val="26"/>
          <w:lang w:val="vi-VN"/>
        </w:rPr>
        <w:t>Định kỳ, bộ phận quản trị rủi ro thực hiện đánh giá hoạt động quản trị rủi ro và đề xuất các giải pháp điều chỉnh hoạt động quản trị rủi ro, chính sách quản trị rủi ro, báo cáo Ủy ban quản trị rủi ro và Ban Điều hành.</w:t>
      </w:r>
    </w:p>
    <w:p w:rsidR="007C4750" w:rsidRPr="00621106" w:rsidRDefault="007C4750">
      <w:pPr>
        <w:rPr>
          <w:rFonts w:ascii="Times New Roman" w:hAnsi="Times New Roman" w:cs="Times New Roman"/>
          <w:sz w:val="26"/>
          <w:szCs w:val="26"/>
        </w:rPr>
      </w:pPr>
    </w:p>
    <w:sectPr w:rsidR="007C4750" w:rsidRPr="00621106">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1106"/>
    <w:rsid w:val="00283BBE"/>
    <w:rsid w:val="002E0EC3"/>
    <w:rsid w:val="00426F11"/>
    <w:rsid w:val="00621106"/>
    <w:rsid w:val="007C47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7456C6C-EADD-4C76-B10E-024105B47D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21106"/>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048762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715</Words>
  <Characters>4076</Characters>
  <Application>Microsoft Office Word</Application>
  <DocSecurity>0</DocSecurity>
  <Lines>33</Lines>
  <Paragraphs>9</Paragraphs>
  <ScaleCrop>false</ScaleCrop>
  <Company/>
  <LinksUpToDate>false</LinksUpToDate>
  <CharactersWithSpaces>4782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2026-03-10T04:43:00Z</dcterms:created>
  <dcterms:modified xsi:type="dcterms:W3CDTF">2026-03-10T04:43:00Z</dcterms:modified>
</cp:coreProperties>
</file>