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uto" w:line="360" w:before="0" w:after="0"/>
        <w:ind w:left="0" w:right="0" w:hanging="0"/>
        <w:jc w:val="center"/>
        <w:rPr/>
      </w:pPr>
      <w:r>
        <w:rPr>
          <w:rStyle w:val="StrongEmphasis"/>
          <w:rFonts w:ascii="Times New Roman" w:hAnsi="Times New Roman"/>
          <w:b/>
          <w:i w:val="false"/>
          <w:caps w:val="false"/>
          <w:smallCaps w:val="false"/>
          <w:color w:val="000000"/>
          <w:spacing w:val="0"/>
          <w:sz w:val="26"/>
          <w:szCs w:val="26"/>
        </w:rPr>
        <w:br/>
        <w:t>Phụ lục</w:t>
      </w:r>
    </w:p>
    <w:p>
      <w:pPr>
        <w:pStyle w:val="TextBody"/>
        <w:widowControl/>
        <w:pBdr/>
        <w:spacing w:lineRule="auto" w:line="360" w:before="0" w:after="0"/>
        <w:ind w:left="0" w:right="0" w:hanging="0"/>
        <w:jc w:val="center"/>
        <w:rPr/>
      </w:pPr>
      <w:r>
        <w:rPr>
          <w:rStyle w:val="StrongEmphasis"/>
          <w:rFonts w:ascii="Times New Roman" w:hAnsi="Times New Roman"/>
          <w:b/>
          <w:i w:val="false"/>
          <w:caps w:val="false"/>
          <w:smallCaps w:val="false"/>
          <w:color w:val="000000"/>
          <w:spacing w:val="0"/>
          <w:sz w:val="26"/>
          <w:szCs w:val="26"/>
        </w:rPr>
        <w:t>DANH MỤC NGÀNH, NGHỀ TÍNH THUẾ THU NHẬP CÁ NHÂN</w:t>
      </w:r>
      <w:r>
        <w:rPr>
          <w:rFonts w:ascii="Times New Roman" w:hAnsi="Times New Roman"/>
          <w:b w:val="false"/>
          <w:i w:val="false"/>
          <w:caps w:val="false"/>
          <w:smallCaps w:val="false"/>
          <w:color w:val="222222"/>
          <w:spacing w:val="0"/>
          <w:sz w:val="26"/>
          <w:szCs w:val="26"/>
        </w:rPr>
        <w:br/>
      </w:r>
      <w:r>
        <w:rPr>
          <w:rStyle w:val="StrongEmphasis"/>
          <w:rFonts w:ascii="Times New Roman" w:hAnsi="Times New Roman"/>
          <w:b/>
          <w:i w:val="false"/>
          <w:caps w:val="false"/>
          <w:smallCaps w:val="false"/>
          <w:color w:val="000000"/>
          <w:spacing w:val="0"/>
          <w:sz w:val="26"/>
          <w:szCs w:val="26"/>
        </w:rPr>
        <w:t>THEO THUẾ SUẤT TRÊN DOANH THU ĐỐI VỚI</w:t>
      </w:r>
      <w:r>
        <w:rPr>
          <w:rFonts w:ascii="Times New Roman" w:hAnsi="Times New Roman"/>
          <w:b w:val="false"/>
          <w:i w:val="false"/>
          <w:caps w:val="false"/>
          <w:smallCaps w:val="false"/>
          <w:color w:val="000000"/>
          <w:spacing w:val="0"/>
          <w:sz w:val="26"/>
          <w:szCs w:val="26"/>
        </w:rPr>
        <w:br/>
      </w:r>
      <w:r>
        <w:rPr>
          <w:rStyle w:val="StrongEmphasis"/>
          <w:rFonts w:ascii="Times New Roman" w:hAnsi="Times New Roman"/>
          <w:b/>
          <w:i w:val="false"/>
          <w:caps w:val="false"/>
          <w:smallCaps w:val="false"/>
          <w:color w:val="000000"/>
          <w:spacing w:val="0"/>
          <w:sz w:val="26"/>
          <w:szCs w:val="26"/>
        </w:rPr>
        <w:t>CÁ NHÂN CƯ TRÚ CÓ THU NHẬP TỪ KINH DOANH</w:t>
      </w:r>
    </w:p>
    <w:p>
      <w:pPr>
        <w:pStyle w:val="TextBody"/>
        <w:widowControl/>
        <w:pBdr/>
        <w:spacing w:lineRule="auto" w:line="360" w:before="0" w:after="0"/>
        <w:ind w:left="0" w:right="0" w:hanging="0"/>
        <w:jc w:val="center"/>
        <w:rPr/>
      </w:pPr>
      <w:r>
        <w:rPr>
          <w:rStyle w:val="Emphasis"/>
          <w:rFonts w:ascii="Times New Roman" w:hAnsi="Times New Roman"/>
          <w:b w:val="false"/>
          <w:i w:val="false"/>
          <w:caps w:val="false"/>
          <w:smallCaps w:val="false"/>
          <w:color w:val="000000"/>
          <w:spacing w:val="0"/>
          <w:sz w:val="26"/>
          <w:szCs w:val="26"/>
        </w:rPr>
        <w:t>(Kèm theo Nghị định số 253/2026/NĐ-CP</w:t>
      </w:r>
      <w:r>
        <w:rPr>
          <w:rFonts w:ascii="Times New Roman" w:hAnsi="Times New Roman"/>
          <w:b w:val="false"/>
          <w:i w:val="false"/>
          <w:caps w:val="false"/>
          <w:smallCaps w:val="false"/>
          <w:color w:val="222222"/>
          <w:spacing w:val="0"/>
          <w:sz w:val="26"/>
          <w:szCs w:val="26"/>
        </w:rPr>
        <w:br/>
      </w:r>
      <w:r>
        <w:rPr>
          <w:rStyle w:val="Emphasis"/>
          <w:rFonts w:ascii="Times New Roman" w:hAnsi="Times New Roman"/>
          <w:b w:val="false"/>
          <w:i w:val="false"/>
          <w:caps w:val="false"/>
          <w:smallCaps w:val="false"/>
          <w:color w:val="000000"/>
          <w:spacing w:val="0"/>
          <w:sz w:val="26"/>
          <w:szCs w:val="26"/>
        </w:rPr>
        <w:t>ngày 30 tháng 6 năm 2026 của Chính phủ)</w:t>
      </w:r>
    </w:p>
    <w:p>
      <w:pPr>
        <w:pStyle w:val="TextBody"/>
        <w:widowControl/>
        <w:pBdr/>
        <w:spacing w:before="0" w:after="0"/>
        <w:ind w:left="0" w:right="0" w:hanging="0"/>
        <w:jc w:val="center"/>
        <w:rPr>
          <w:rFonts w:ascii="Times New Roman" w:hAnsi="Times New Roman"/>
          <w:caps w:val="false"/>
          <w:smallCaps w:val="false"/>
          <w:color w:val="222222"/>
          <w:spacing w:val="0"/>
          <w:sz w:val="26"/>
          <w:szCs w:val="26"/>
        </w:rPr>
      </w:pPr>
      <w:r>
        <w:rPr>
          <w:rFonts w:ascii="Times New Roman" w:hAnsi="Times New Roman"/>
          <w:caps w:val="false"/>
          <w:smallCaps w:val="false"/>
          <w:color w:val="222222"/>
          <w:spacing w:val="0"/>
          <w:sz w:val="26"/>
          <w:szCs w:val="26"/>
        </w:rPr>
        <w:t> </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466"/>
        <w:gridCol w:w="8493"/>
        <w:gridCol w:w="679"/>
      </w:tblGrid>
      <w:tr>
        <w:trPr/>
        <w:tc>
          <w:tcPr>
            <w:tcW w:w="466"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360" w:before="40" w:after="40"/>
              <w:ind w:left="0" w:right="0" w:hanging="0"/>
              <w:jc w:val="center"/>
              <w:rPr>
                <w:sz w:val="24"/>
                <w:szCs w:val="24"/>
              </w:rPr>
            </w:pPr>
            <w:r>
              <w:rPr>
                <w:rStyle w:val="StrongEmphasis"/>
                <w:rFonts w:ascii="Times New Roman" w:hAnsi="Times New Roman"/>
                <w:b/>
                <w:color w:val="000000"/>
                <w:sz w:val="26"/>
                <w:szCs w:val="26"/>
              </w:rPr>
              <w:t>STT</w:t>
            </w:r>
          </w:p>
        </w:tc>
        <w:tc>
          <w:tcPr>
            <w:tcW w:w="849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40" w:after="40"/>
              <w:ind w:left="0" w:right="0" w:hanging="0"/>
              <w:jc w:val="center"/>
              <w:rPr>
                <w:sz w:val="24"/>
                <w:szCs w:val="24"/>
              </w:rPr>
            </w:pPr>
            <w:r>
              <w:rPr>
                <w:rStyle w:val="StrongEmphasis"/>
                <w:rFonts w:ascii="Times New Roman" w:hAnsi="Times New Roman"/>
                <w:b/>
                <w:color w:val="000000"/>
                <w:sz w:val="26"/>
                <w:szCs w:val="26"/>
              </w:rPr>
              <w:t>Danh mục ngành, nghề</w:t>
            </w:r>
          </w:p>
        </w:tc>
        <w:tc>
          <w:tcPr>
            <w:tcW w:w="67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360" w:before="40" w:after="40"/>
              <w:ind w:left="0" w:right="0" w:hanging="0"/>
              <w:jc w:val="center"/>
              <w:rPr>
                <w:sz w:val="24"/>
                <w:szCs w:val="24"/>
              </w:rPr>
            </w:pPr>
            <w:r>
              <w:rPr>
                <w:rStyle w:val="StrongEmphasis"/>
                <w:rFonts w:ascii="Times New Roman" w:hAnsi="Times New Roman"/>
                <w:b/>
                <w:color w:val="000000"/>
                <w:sz w:val="26"/>
                <w:szCs w:val="26"/>
              </w:rPr>
              <w:t>Thuế suất</w:t>
            </w:r>
          </w:p>
        </w:tc>
      </w:tr>
      <w:tr>
        <w:trPr/>
        <w:tc>
          <w:tcPr>
            <w:tcW w:w="466"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40" w:after="40"/>
              <w:ind w:left="0" w:right="0" w:hanging="0"/>
              <w:jc w:val="center"/>
              <w:rPr>
                <w:sz w:val="24"/>
                <w:szCs w:val="24"/>
              </w:rPr>
            </w:pPr>
            <w:r>
              <w:rPr>
                <w:rStyle w:val="StrongEmphasis"/>
                <w:rFonts w:ascii="Times New Roman" w:hAnsi="Times New Roman"/>
                <w:b/>
                <w:color w:val="000000"/>
                <w:sz w:val="26"/>
                <w:szCs w:val="26"/>
              </w:rPr>
              <w:t>1.</w:t>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sz w:val="24"/>
                <w:szCs w:val="24"/>
              </w:rPr>
            </w:pPr>
            <w:r>
              <w:rPr>
                <w:rStyle w:val="StrongEmphasis"/>
                <w:rFonts w:ascii="Times New Roman" w:hAnsi="Times New Roman"/>
                <w:b/>
                <w:color w:val="000000"/>
                <w:sz w:val="26"/>
                <w:szCs w:val="26"/>
              </w:rPr>
              <w:t>Phân phối, cung cấp hàng hóa quy định tại điểm b khoản 3 Điều 7 Luật Thuế thu nhập cá nhân.</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222222"/>
                <w:sz w:val="26"/>
                <w:szCs w:val="26"/>
              </w:rPr>
              <w:t> </w:t>
            </w:r>
          </w:p>
        </w:tc>
      </w:tr>
      <w:tr>
        <w:trPr/>
        <w:tc>
          <w:tcPr>
            <w:tcW w:w="466"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bán buôn, bán lẻ các loại hàng hóa (trừ giá trị hàng hóa đại lý bán đúng giá hưởng hoa hồng);</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Khoản thưởng, hỗ trợ đạt doanh số, khuyến mại, chiết khấu thanh toán, chi hỗ trợ bằng tiền hoặc không bằng tiền cho cá nhân kinh doanh;</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phân phối, cung cấp hàng hóa không chịu thuế giá trị gia tăng, không phải khai thuế giá trị gia tăng, thuộc diện chịu thuế giá trị gia tăng 0% theo pháp luật về thuế giá trị gia tăng;</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hợp tác kinh doanh với tổ chức thuộc nhóm ngành nghề này mà tổ chức có trách nhiệm khai thuế giá trị gia tăng đối với toàn bộ doanh thu của hoạt động hợp tác kinh doanh theo quy định;</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Khoản thưởng, hỗ trợ đạt doanh số, khuyến mại, chiết khấu thanh toán, chi hỗ trợ bằng tiền hoặc không bằng tiền cho cá nhân kinh doanh gắn với mua hàng hóa, dịch vụ thuộc đối tượng không chịu thuế giá trị gia tăng, không phải khai thuế giá trị gia tăng, thuộc diện chịu thuế giá trị gia tăng 0% theo pháp luật về thuế giá trị gia tăng;</w:t>
            </w:r>
          </w:p>
          <w:p>
            <w:pPr>
              <w:pStyle w:val="TableContents"/>
              <w:pBdr/>
              <w:spacing w:lineRule="auto" w:line="360" w:before="40" w:after="40"/>
              <w:ind w:left="0" w:right="0" w:firstLine="720"/>
              <w:jc w:val="both"/>
              <w:rPr>
                <w:sz w:val="24"/>
                <w:szCs w:val="24"/>
              </w:rPr>
            </w:pPr>
            <w:r>
              <w:rPr>
                <w:rFonts w:ascii="Times New Roman" w:hAnsi="Times New Roman"/>
                <w:color w:val="000000"/>
                <w:sz w:val="26"/>
                <w:szCs w:val="26"/>
              </w:rPr>
              <w:t>- Khoản bồi thường vi phạm hợp đồng, bồi thường khác.</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000000"/>
                <w:sz w:val="26"/>
                <w:szCs w:val="26"/>
              </w:rPr>
              <w:t>0,5%</w:t>
            </w:r>
          </w:p>
        </w:tc>
      </w:tr>
      <w:tr>
        <w:trPr/>
        <w:tc>
          <w:tcPr>
            <w:tcW w:w="466"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40" w:after="40"/>
              <w:ind w:left="0" w:right="0" w:hanging="0"/>
              <w:jc w:val="center"/>
              <w:rPr>
                <w:sz w:val="24"/>
                <w:szCs w:val="24"/>
              </w:rPr>
            </w:pPr>
            <w:r>
              <w:rPr>
                <w:rStyle w:val="StrongEmphasis"/>
                <w:rFonts w:ascii="Times New Roman" w:hAnsi="Times New Roman"/>
                <w:b/>
                <w:color w:val="000000"/>
                <w:sz w:val="26"/>
                <w:szCs w:val="26"/>
              </w:rPr>
              <w:t>2.</w:t>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sz w:val="24"/>
                <w:szCs w:val="24"/>
              </w:rPr>
            </w:pPr>
            <w:r>
              <w:rPr>
                <w:rStyle w:val="StrongEmphasis"/>
                <w:rFonts w:ascii="Times New Roman" w:hAnsi="Times New Roman"/>
                <w:b/>
                <w:color w:val="000000"/>
                <w:sz w:val="26"/>
                <w:szCs w:val="26"/>
              </w:rPr>
              <w:t>Dịch vụ, xây dựng không bao thầu nguyên vật liệu quy định tại điểm c khoản 3 Điều 7 Luật Thuế thu nhập cá nhân.</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222222"/>
                <w:sz w:val="26"/>
                <w:szCs w:val="26"/>
              </w:rPr>
              <w:t> </w:t>
            </w:r>
          </w:p>
        </w:tc>
      </w:tr>
      <w:tr>
        <w:trPr/>
        <w:tc>
          <w:tcPr>
            <w:tcW w:w="466"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lưu trú gồm: hoạt động cung cấp cơ sở lưu trú ngắn hạn cho khách du lịch, khách vãng lai khác; hoạt động cung cấp cơ sở lưu trú dài hạn không phải là căn hộ cho sinh viên, công nhân và những đối tượng tương tự; hoạt động cung cấp cơ sở lưu trú cùng dịch vụ ăn uống hoặc các phương tiện giải trí;</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bốc xếp hàng hóa và hoạt động dịch vụ hỗ trợ khác liên quan đến vận tải như kinh doanh bến bãi, bán vé, trông giữ phương tiện;</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bưu chính, chuyển phát thư tín và bưu kiện;</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môi giới, đấu giá và hoa hồng đại lý;</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tư vấn pháp luật, tư vấn tài chính, kế toán, kiểm toán; dịch vụ làm thủ tục hành chính thuế, hải quan;</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xử lý dữ liệu, cho thuê cổng thông tin, thiết bị công nghệ thông tin, viễn thông, quảng cáo;</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hỗ trợ văn phòng và các dịch vụ hỗ trợ kinh doanh khác;</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tắm hơi, massage, karaoke, vũ trường, bi-a, internet;</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may đo, giặt là; cắt tóc, làm đầu, gội đầu;</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sửa chữa khác bao gồm: sửa chữa máy vi tính và các đồ dùng gia đình;</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tư vấn, thiết kế, giám sát thi công xây dựng cơ bản;</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Các dịch vụ khác thuộc đối tượng tính thuế giá trị gia tăng theo phương pháp khấu trừ với mức thuế suất thuế giá trị gia tăng 10%;</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Xây dựng, lắp đặt không bao thầu nguyên vật liệu (bao gồm cả lắp đặt máy móc, thiết bị công nghiệp);</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cung cấp dịch vụ không chịu thuế gia tăng, không phải khai thuế gia tăng, thuộc diện chịu thuế giá trị gia tăng 0% theo pháp luật về thuế giá trị gia tăng;</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hợp tác kinh doanh với tổ chức thuộc nhóm ngành nghề này mà tổ chức có trách nhiệm khai thuế giá trị gia tăng đối với toàn bộ doanh thu của hoạt động hợp tác kinh doanh theo quy định;</w:t>
            </w:r>
          </w:p>
          <w:p>
            <w:pPr>
              <w:pStyle w:val="TableContents"/>
              <w:pBdr/>
              <w:spacing w:lineRule="auto" w:line="360" w:before="40" w:after="40"/>
              <w:ind w:left="0" w:right="0" w:firstLine="720"/>
              <w:jc w:val="both"/>
              <w:rPr>
                <w:sz w:val="24"/>
                <w:szCs w:val="24"/>
              </w:rPr>
            </w:pPr>
            <w:r>
              <w:rPr>
                <w:rFonts w:ascii="Times New Roman" w:hAnsi="Times New Roman"/>
                <w:color w:val="000000"/>
                <w:sz w:val="26"/>
                <w:szCs w:val="26"/>
              </w:rPr>
              <w:t>- Khoản bồi thường vi phạm hợp đồng, bồi thường khác.</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000000"/>
                <w:sz w:val="26"/>
                <w:szCs w:val="26"/>
              </w:rPr>
              <w:t>2%</w:t>
            </w:r>
          </w:p>
        </w:tc>
      </w:tr>
      <w:tr>
        <w:trPr/>
        <w:tc>
          <w:tcPr>
            <w:tcW w:w="466"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Cho thuê tài sản gồm:</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Cho thuê nhà, đất, cửa hàng, nhà xưởng, kho bãi (trừ dịch vụ lưu trú);</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Cho thuê phương tiện vận tải, máy móc thiết bị không kèm theo người điều khiển;</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Cho thuê tài sản khác không kèm theo dịch vụ.</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Làm đại lý xổ số, đại lý bảo hiểm, bán hàng đa cấp;</w:t>
            </w:r>
          </w:p>
          <w:p>
            <w:pPr>
              <w:pStyle w:val="TableContents"/>
              <w:pBdr/>
              <w:spacing w:lineRule="auto" w:line="360" w:before="40" w:after="40"/>
              <w:ind w:left="0" w:right="0" w:firstLine="720"/>
              <w:jc w:val="both"/>
              <w:rPr>
                <w:sz w:val="24"/>
                <w:szCs w:val="24"/>
              </w:rPr>
            </w:pPr>
            <w:r>
              <w:rPr>
                <w:rFonts w:ascii="Times New Roman" w:hAnsi="Times New Roman"/>
                <w:color w:val="000000"/>
                <w:sz w:val="26"/>
                <w:szCs w:val="26"/>
              </w:rPr>
              <w:t>- Khoản bồi thường vi phạm hợp đồng, bồi thường khác.</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000000"/>
                <w:sz w:val="26"/>
                <w:szCs w:val="26"/>
              </w:rPr>
              <w:t>5%</w:t>
            </w:r>
          </w:p>
        </w:tc>
      </w:tr>
      <w:tr>
        <w:trPr/>
        <w:tc>
          <w:tcPr>
            <w:tcW w:w="466"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40" w:after="40"/>
              <w:ind w:left="0" w:right="0" w:hanging="0"/>
              <w:jc w:val="center"/>
              <w:rPr>
                <w:sz w:val="24"/>
                <w:szCs w:val="24"/>
              </w:rPr>
            </w:pPr>
            <w:r>
              <w:rPr>
                <w:rStyle w:val="StrongEmphasis"/>
                <w:rFonts w:ascii="Times New Roman" w:hAnsi="Times New Roman"/>
                <w:b/>
                <w:color w:val="000000"/>
                <w:sz w:val="26"/>
                <w:szCs w:val="26"/>
              </w:rPr>
              <w:t>3.</w:t>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sz w:val="24"/>
                <w:szCs w:val="24"/>
              </w:rPr>
            </w:pPr>
            <w:r>
              <w:rPr>
                <w:rStyle w:val="StrongEmphasis"/>
                <w:rFonts w:ascii="Times New Roman" w:hAnsi="Times New Roman"/>
                <w:b/>
                <w:color w:val="000000"/>
                <w:sz w:val="26"/>
                <w:szCs w:val="26"/>
              </w:rPr>
              <w:t>Sản xuất, vận tải, dịch vụ có gắn với hàng hóa, xây dựng có bao thầu nguyên vật liệu quy định tại điểm d khoản 3 Điều 7 Luật Thuế thu nhập cá nhân.</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222222"/>
                <w:sz w:val="26"/>
                <w:szCs w:val="26"/>
              </w:rPr>
              <w:t> </w:t>
            </w:r>
          </w:p>
        </w:tc>
      </w:tr>
      <w:tr>
        <w:trPr/>
        <w:tc>
          <w:tcPr>
            <w:tcW w:w="466"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Sản xuất, gia công, chế biến sản phẩm hàng hóa;</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Khai thác, chế biến khoáng sản;</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Vận tải hàng hóa, vận tải hành khách;</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kèm theo bán hàng hóa như dịch vụ đào tạo, bảo dưỡng, chuyển giao công nghệ kèm theo bán sản phẩm;</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ăn uống;</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Dịch vụ sửa chữa và bảo dưỡng máy móc thiết bị, phương tiện vận tải, ô tô, mô tô, xe máy và xe có động cơ khác;</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Xây dựng, lắp đặt có bao thầu nguyên vật liệu (bao gồm cả lắp đặt máy móc, thiết bị công nghiệp);</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khác thuộc đối tượng tính thuế giá trị gia tăng theo phương pháp khấu trừ với mức thuế suất thuế giá trị gia tăng 10%;</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không chịu thuế giá trị gia tăng, không phải khai thuế giá trị gia tăng, thuộc diện chịu thuế giá trị gia tăng 0% theo pháp luật về thuế giá trị gia tăng;</w:t>
            </w:r>
          </w:p>
          <w:p>
            <w:pPr>
              <w:pStyle w:val="TableContents"/>
              <w:pBdr/>
              <w:spacing w:lineRule="auto" w:line="360" w:before="40" w:after="40"/>
              <w:ind w:left="0" w:right="0" w:firstLine="720"/>
              <w:jc w:val="both"/>
              <w:rPr>
                <w:sz w:val="24"/>
                <w:szCs w:val="24"/>
              </w:rPr>
            </w:pPr>
            <w:r>
              <w:rPr>
                <w:rFonts w:ascii="Times New Roman" w:hAnsi="Times New Roman"/>
                <w:color w:val="000000"/>
                <w:sz w:val="26"/>
                <w:szCs w:val="26"/>
              </w:rPr>
              <w:t>- Hoạt động hợp tác kinh doanh với tổ chức thuộc nhóm ngành nghề này mà tổ chức có trách nhiệm khai thuế giá trị gia tăng đối với toàn bộ doanh thu của hoạt động hợp tác kinh doanh theo quy định.</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000000"/>
                <w:sz w:val="26"/>
                <w:szCs w:val="26"/>
              </w:rPr>
              <w:t>1,5%</w:t>
            </w:r>
          </w:p>
        </w:tc>
      </w:tr>
      <w:tr>
        <w:trPr/>
        <w:tc>
          <w:tcPr>
            <w:tcW w:w="46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40" w:after="40"/>
              <w:ind w:left="0" w:right="0" w:hanging="0"/>
              <w:jc w:val="center"/>
              <w:rPr>
                <w:sz w:val="24"/>
                <w:szCs w:val="24"/>
              </w:rPr>
            </w:pPr>
            <w:r>
              <w:rPr>
                <w:rStyle w:val="StrongEmphasis"/>
                <w:rFonts w:ascii="Times New Roman" w:hAnsi="Times New Roman"/>
                <w:b/>
                <w:color w:val="000000"/>
                <w:sz w:val="26"/>
                <w:szCs w:val="26"/>
              </w:rPr>
              <w:t>4.</w:t>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sz w:val="24"/>
                <w:szCs w:val="24"/>
              </w:rPr>
            </w:pPr>
            <w:r>
              <w:rPr>
                <w:rStyle w:val="StrongEmphasis"/>
                <w:rFonts w:ascii="Times New Roman" w:hAnsi="Times New Roman"/>
                <w:b/>
                <w:color w:val="000000"/>
                <w:sz w:val="26"/>
                <w:szCs w:val="26"/>
              </w:rPr>
              <w:t>Hoạt động cung cấp sản phẩm và dịch vụ nội dung thông tin số về giải trí, trò chơi điện tử, phim số, ảnh số, nhạc số, quảng cáo số quy định tại điểm đ khoản 3 Điều 7 Luật Thuế thu nhập cá nhân.</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000000"/>
                <w:sz w:val="26"/>
                <w:szCs w:val="26"/>
              </w:rPr>
              <w:t>5%</w:t>
            </w:r>
          </w:p>
        </w:tc>
      </w:tr>
      <w:tr>
        <w:trPr/>
        <w:tc>
          <w:tcPr>
            <w:tcW w:w="466" w:type="dxa"/>
            <w:vMerge w:val="restart"/>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360" w:before="40" w:after="40"/>
              <w:ind w:left="0" w:right="0" w:hanging="0"/>
              <w:jc w:val="center"/>
              <w:rPr>
                <w:sz w:val="24"/>
                <w:szCs w:val="24"/>
              </w:rPr>
            </w:pPr>
            <w:r>
              <w:rPr>
                <w:rStyle w:val="StrongEmphasis"/>
                <w:rFonts w:ascii="Times New Roman" w:hAnsi="Times New Roman"/>
                <w:b/>
                <w:color w:val="000000"/>
                <w:sz w:val="26"/>
                <w:szCs w:val="26"/>
              </w:rPr>
              <w:t>5.</w:t>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sz w:val="24"/>
                <w:szCs w:val="24"/>
              </w:rPr>
            </w:pPr>
            <w:r>
              <w:rPr>
                <w:rStyle w:val="StrongEmphasis"/>
                <w:rFonts w:ascii="Times New Roman" w:hAnsi="Times New Roman"/>
                <w:b/>
                <w:color w:val="000000"/>
                <w:sz w:val="26"/>
                <w:szCs w:val="26"/>
              </w:rPr>
              <w:t>Hoạt động kinh doanh khác quy định tại điểm e khoản 3 Điều 7 Luật Thuế thu nhập cá nhân.</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222222"/>
                <w:sz w:val="26"/>
                <w:szCs w:val="26"/>
              </w:rPr>
              <w:t> </w:t>
            </w:r>
          </w:p>
        </w:tc>
      </w:tr>
      <w:tr>
        <w:trPr/>
        <w:tc>
          <w:tcPr>
            <w:tcW w:w="466" w:type="dxa"/>
            <w:vMerge w:val="continue"/>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rPr>
                <w:rFonts w:ascii="Times New Roman" w:hAnsi="Times New Roman"/>
                <w:sz w:val="26"/>
                <w:szCs w:val="26"/>
              </w:rPr>
            </w:pPr>
            <w:r>
              <w:rPr>
                <w:rFonts w:ascii="Times New Roman" w:hAnsi="Times New Roman"/>
                <w:sz w:val="26"/>
                <w:szCs w:val="26"/>
              </w:rPr>
            </w:r>
          </w:p>
        </w:tc>
        <w:tc>
          <w:tcPr>
            <w:tcW w:w="849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sản xuất các sản phẩm thuộc đối tượng tính thuế giá trị gia tăng theo phương pháp khấu trừ với mức thuế suất thuế giá trị gia tăng 5%;</w:t>
            </w:r>
          </w:p>
          <w:p>
            <w:pPr>
              <w:pStyle w:val="TableContents"/>
              <w:pBdr/>
              <w:spacing w:lineRule="auto" w:line="360" w:before="40" w:after="40"/>
              <w:ind w:left="0" w:right="0" w:firstLine="720"/>
              <w:jc w:val="both"/>
              <w:rPr>
                <w:rFonts w:ascii="Times New Roman" w:hAnsi="Times New Roman"/>
                <w:color w:val="000000"/>
                <w:sz w:val="26"/>
                <w:szCs w:val="26"/>
              </w:rPr>
            </w:pPr>
            <w:r>
              <w:rPr>
                <w:rFonts w:ascii="Times New Roman" w:hAnsi="Times New Roman"/>
                <w:color w:val="000000"/>
                <w:sz w:val="26"/>
                <w:szCs w:val="26"/>
              </w:rPr>
              <w:t>- Hoạt động cung cấp các dịch vụ thuộc đối tượng tính thuế giá trị gia tăng theo phương pháp khấu trừ với mức thuế suất thuế giá trị gia tăng 5%;</w:t>
            </w:r>
          </w:p>
          <w:p>
            <w:pPr>
              <w:pStyle w:val="TableContents"/>
              <w:pBdr/>
              <w:spacing w:lineRule="auto" w:line="360" w:before="40" w:after="40"/>
              <w:ind w:left="0" w:right="0" w:firstLine="720"/>
              <w:jc w:val="both"/>
              <w:rPr>
                <w:sz w:val="24"/>
                <w:szCs w:val="24"/>
              </w:rPr>
            </w:pPr>
            <w:r>
              <w:rPr>
                <w:rFonts w:ascii="Times New Roman" w:hAnsi="Times New Roman"/>
                <w:color w:val="000000"/>
                <w:sz w:val="26"/>
                <w:szCs w:val="26"/>
              </w:rPr>
              <w:t>- Hoạt động khác chưa được liệt kê ở các nhóm 1, 2, 3, 4 nêu trên.</w:t>
            </w:r>
          </w:p>
        </w:tc>
        <w:tc>
          <w:tcPr>
            <w:tcW w:w="67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360" w:before="40" w:after="40"/>
              <w:ind w:left="0" w:right="0" w:hanging="0"/>
              <w:jc w:val="center"/>
              <w:rPr>
                <w:sz w:val="24"/>
                <w:szCs w:val="24"/>
              </w:rPr>
            </w:pPr>
            <w:r>
              <w:rPr>
                <w:rFonts w:ascii="Times New Roman" w:hAnsi="Times New Roman"/>
                <w:color w:val="000000"/>
                <w:sz w:val="26"/>
                <w:szCs w:val="26"/>
              </w:rPr>
              <w:t>1%</w:t>
            </w:r>
          </w:p>
        </w:tc>
      </w:tr>
    </w:tbl>
    <w:p>
      <w:pPr>
        <w:pStyle w:val="Normal"/>
        <w:rPr>
          <w:rFonts w:ascii="Times New Roman" w:hAnsi="Times New Roman"/>
          <w:sz w:val="26"/>
          <w:szCs w:val="26"/>
        </w:rPr>
      </w:pPr>
      <w:r>
        <w:rPr>
          <w:rFonts w:ascii="Times New Roman" w:hAnsi="Times New Roman"/>
          <w:sz w:val="26"/>
          <w:szCs w:val="26"/>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character" w:styleId="StrongEmphasis">
    <w:name w:val="Strong Emphasis"/>
    <w:qFormat/>
    <w:rPr>
      <w:b/>
      <w:bCs/>
    </w:rPr>
  </w:style>
  <w:style w:type="character" w:styleId="Emphasis">
    <w:name w:val="Emphasis"/>
    <w:qFormat/>
    <w:rPr>
      <w:i/>
      <w:iCs/>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4</Pages>
  <Words>1182</Words>
  <Characters>4162</Characters>
  <CharactersWithSpaces>5287</CharactersWithSpaces>
  <Paragraphs>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2026-07-03T08:34:48Z</dcterms:created>
  <dc:creator/>
  <dc:description/>
  <dc:language>vi-VN</dc:language>
  <cp:lastModifiedBy/>
  <dcterms:modified xsi:type="dcterms:W3CDTF">2026-07-03T08:35:22Z</dcterms:modified>
  <cp:revision>1</cp:revision>
  <dc:subject/>
  <dc:title/>
</cp:coreProperties>
</file>