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fonts/font9.odttf" ContentType="application/vnd.openxmlformats-officedocument.obfuscatedFont"/>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settings.xml" ContentType="application/vnd.openxmlformats-officedocument.wordprocessingml.settings+xml"/>
  <Override PartName="/customXml/item1.xml" ContentType="application/xml"/>
  <Override PartName="/customXml/item2.xml" ContentType="application/xml"/>
  <Override PartName="/customXml/itemProps1.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pacing w:lineRule="auto" w:line="240" w:before="0" w:after="12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Phụ lục IV</w:t>
      </w:r>
    </w:p>
    <w:p>
      <w:pPr>
        <w:pStyle w:val="Normal"/>
        <w:spacing w:lineRule="auto" w:line="252" w:before="120" w:after="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DANH MỤC MẪU BIỂU CỦA CƠ QUAN THUẾ</w:t>
      </w:r>
    </w:p>
    <w:p>
      <w:pPr>
        <w:pStyle w:val="Normal"/>
        <w:spacing w:lineRule="auto" w:line="252" w:before="0" w:after="300"/>
        <w:jc w:val="center"/>
        <w:rPr>
          <w:rFonts w:ascii="Times New Roman" w:hAnsi="Times New Roman" w:eastAsia="Times New Roman" w:cs="Times New Roman"/>
          <w:i/>
          <w:i/>
          <w:iCs/>
          <w:sz w:val="28"/>
          <w:szCs w:val="28"/>
        </w:rPr>
      </w:pPr>
      <w:bookmarkStart w:id="0" w:name="_heading=h.aq6cjjc1zvoi"/>
      <w:bookmarkEnd w:id="0"/>
      <w:r>
        <w:rPr>
          <w:rFonts w:eastAsia="Times New Roman" w:cs="Times New Roman" w:ascii="Times New Roman" w:hAnsi="Times New Roman"/>
          <w:i/>
          <w:iCs/>
          <w:sz w:val="28"/>
          <w:szCs w:val="28"/>
        </w:rPr>
        <w:t>(Kèm theo Thông tư số 89/2026/TT-BTC ngày 30 tháng 6 năm 2026 của Bộ trưởng Bộ Tài chính)</w:t>
      </w:r>
    </w:p>
    <w:tbl>
      <w:tblPr>
        <w:tblStyle w:val="a"/>
        <w:tblW w:w="9490" w:type="dxa"/>
        <w:jc w:val="left"/>
        <w:tblInd w:w="0" w:type="dxa"/>
        <w:tblBorders>
          <w:top w:val="single" w:sz="6" w:space="0" w:color="000000"/>
          <w:left w:val="single" w:sz="6" w:space="0" w:color="000000"/>
          <w:right w:val="single" w:sz="6" w:space="0" w:color="000000"/>
          <w:insideV w:val="single" w:sz="6" w:space="0" w:color="000000"/>
        </w:tblBorders>
        <w:tblCellMar>
          <w:top w:w="0" w:type="dxa"/>
          <w:left w:w="100" w:type="dxa"/>
          <w:bottom w:w="0" w:type="dxa"/>
          <w:right w:w="108" w:type="dxa"/>
        </w:tblCellMar>
        <w:tblLook w:firstRow="0" w:noVBand="1" w:lastRow="0" w:firstColumn="0" w:lastColumn="0" w:noHBand="1" w:val="0600"/>
      </w:tblPr>
      <w:tblGrid>
        <w:gridCol w:w="621"/>
        <w:gridCol w:w="622"/>
        <w:gridCol w:w="2227"/>
        <w:gridCol w:w="4602"/>
        <w:gridCol w:w="1418"/>
      </w:tblGrid>
      <w:tr>
        <w:trPr>
          <w:tblHeader w:val="true"/>
          <w:trHeight w:val="345" w:hRule="atLeast"/>
        </w:trPr>
        <w:tc>
          <w:tcPr>
            <w:tcW w:w="621" w:type="dxa"/>
            <w:tcBorders>
              <w:top w:val="single" w:sz="6" w:space="0" w:color="000000"/>
              <w:left w:val="single" w:sz="6" w:space="0" w:color="000000"/>
              <w:right w:val="single" w:sz="6" w:space="0" w:color="000000"/>
              <w:insideV w:val="single" w:sz="6" w:space="0" w:color="000000"/>
            </w:tcBorders>
            <w:shd w:color="auto" w:fill="DBE5F1" w:val="clea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Số TT</w:t>
            </w:r>
          </w:p>
        </w:tc>
        <w:tc>
          <w:tcPr>
            <w:tcW w:w="62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color="auto" w:fill="DBE5F1" w:val="clear"/>
            <w:tcMar>
              <w:top w:w="40" w:type="dxa"/>
              <w:left w:w="72"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TT</w:t>
            </w:r>
          </w:p>
        </w:tc>
        <w:tc>
          <w:tcPr>
            <w:tcW w:w="2227" w:type="dxa"/>
            <w:tcBorders>
              <w:top w:val="single" w:sz="6" w:space="0" w:color="000000"/>
              <w:bottom w:val="single" w:sz="6" w:space="0" w:color="000000"/>
              <w:right w:val="single" w:sz="6" w:space="0" w:color="000000"/>
              <w:insideH w:val="single" w:sz="6" w:space="0" w:color="000000"/>
              <w:insideV w:val="single" w:sz="6" w:space="0" w:color="000000"/>
            </w:tcBorders>
            <w:shd w:color="auto" w:fill="DBE5F1"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Mẫu số</w:t>
            </w:r>
          </w:p>
        </w:tc>
        <w:tc>
          <w:tcPr>
            <w:tcW w:w="4602" w:type="dxa"/>
            <w:tcBorders>
              <w:top w:val="single" w:sz="6" w:space="0" w:color="000000"/>
              <w:bottom w:val="single" w:sz="6" w:space="0" w:color="000000"/>
              <w:right w:val="single" w:sz="6" w:space="0" w:color="000000"/>
              <w:insideH w:val="single" w:sz="6" w:space="0" w:color="000000"/>
              <w:insideV w:val="single" w:sz="6" w:space="0" w:color="000000"/>
            </w:tcBorders>
            <w:shd w:color="auto" w:fill="DBE5F1"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Tên mẫu biểu</w:t>
            </w:r>
          </w:p>
        </w:tc>
        <w:tc>
          <w:tcPr>
            <w:tcW w:w="1418" w:type="dxa"/>
            <w:tcBorders>
              <w:top w:val="single" w:sz="6" w:space="0" w:color="000000"/>
              <w:bottom w:val="single" w:sz="6" w:space="0" w:color="000000"/>
              <w:right w:val="single" w:sz="6" w:space="0" w:color="000000"/>
              <w:insideH w:val="single" w:sz="6" w:space="0" w:color="000000"/>
              <w:insideV w:val="single" w:sz="6" w:space="0" w:color="000000"/>
            </w:tcBorders>
            <w:shd w:color="auto" w:fill="DBE5F1"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Điều, khoản viện dẫn</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1</w:t>
            </w:r>
          </w:p>
        </w:tc>
        <w:tc>
          <w:tcPr>
            <w:tcW w:w="8869"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Mẫu biểu khoanh tiền thuế nợ </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01/KN</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khoanh tiền thuế nợ (áp dụng đối với trường hợp quy định tại điểm a, b, c, d, đ khoản 1 Điều 20 Luật Quản lý thuế)</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84</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02/KN</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chấm dứt hiệu lực của quyết định khoanh tiền thuế nợ</w:t>
            </w:r>
          </w:p>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rPr>
              <w:t>(áp dụng đối với trường hợp chấm dứt hiệu lực của quyết định khoanh tiền thuế nợ quy định tại điểm a,b,c,d, đ và điểm e khoản 6 Điều 34 Nghị định số 252/2026/NĐ-CP</w:t>
            </w:r>
            <w:r>
              <w:rPr>
                <w:rFonts w:eastAsia="Times New Roman" w:cs="Times New Roman" w:ascii="Times New Roman" w:hAnsi="Times New Roman"/>
                <w:sz w:val="28"/>
                <w:szCs w:val="28"/>
              </w:rPr>
              <w:t>)</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84</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01/ĐCKN</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điều chỉnh số tiền thuế nợ đã khoanh</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84</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01/KNĐKS</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Văn bản đề nghị bổ sung thông tin</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84</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02/KNĐKS</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trike/>
                <w:sz w:val="28"/>
                <w:szCs w:val="28"/>
              </w:rPr>
            </w:pPr>
            <w:r>
              <w:rPr>
                <w:rFonts w:eastAsia="Times New Roman" w:cs="Times New Roman" w:ascii="Times New Roman" w:hAnsi="Times New Roman"/>
                <w:sz w:val="28"/>
                <w:szCs w:val="28"/>
              </w:rPr>
              <w:t xml:space="preserve">Thông báo về việc không đủ điều kiện khoanh tiền thuế nợ </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84</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03/KNĐKS</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trike/>
                <w:sz w:val="28"/>
                <w:szCs w:val="28"/>
              </w:rPr>
            </w:pPr>
            <w:r>
              <w:rPr>
                <w:rFonts w:eastAsia="Times New Roman" w:cs="Times New Roman" w:ascii="Times New Roman" w:hAnsi="Times New Roman"/>
                <w:sz w:val="28"/>
                <w:szCs w:val="28"/>
              </w:rPr>
              <w:t xml:space="preserve">Quyết định về việc khoanh tiền thuế nợ </w:t>
            </w:r>
            <w:r>
              <w:rPr>
                <w:rFonts w:eastAsia="Times New Roman" w:cs="Times New Roman" w:ascii="Times New Roman" w:hAnsi="Times New Roman"/>
                <w:i/>
                <w:iCs/>
                <w:sz w:val="28"/>
                <w:szCs w:val="28"/>
              </w:rPr>
              <w:t>áp dụng đối với trường hợp khoanh tiền thuế nợ quy định tại điểm e khoản 1 Điều 20 Luật Quản lý thuế</w:t>
            </w:r>
            <w:r>
              <w:rPr>
                <w:rFonts w:eastAsia="Times New Roman" w:cs="Times New Roman" w:ascii="Times New Roman" w:hAnsi="Times New Roman"/>
                <w:sz w:val="28"/>
                <w:szCs w:val="28"/>
              </w:rPr>
              <w:t xml:space="preserve"> )</w:t>
            </w:r>
            <w:r>
              <w:rPr>
                <w:rFonts w:eastAsia="Times New Roman" w:cs="Times New Roman" w:ascii="Times New Roman" w:hAnsi="Times New Roman"/>
                <w:strike/>
                <w:sz w:val="28"/>
                <w:szCs w:val="28"/>
              </w:rPr>
              <w:t xml:space="preserve"> </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84</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7</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04/KNĐKS</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Quyết định về việc chấm dứt hiệu lực của quyết định khoanh tiền thuế nợ </w:t>
            </w:r>
            <w:r>
              <w:rPr>
                <w:rFonts w:eastAsia="Times New Roman" w:cs="Times New Roman" w:ascii="Times New Roman" w:hAnsi="Times New Roman"/>
                <w:i/>
                <w:iCs/>
                <w:sz w:val="28"/>
                <w:szCs w:val="28"/>
              </w:rPr>
              <w:t>( áp dụng đối với trường hợp chấm dứt hiệu lực của quyết định khoanh tiền thuế nợ quy định tại điểm g khoản 6 Điều 34 Nghị định số 252/2026/NĐ-CP)</w:t>
            </w:r>
            <w:r>
              <w:rPr>
                <w:rFonts w:eastAsia="Times New Roman" w:cs="Times New Roman" w:ascii="Times New Roman" w:hAnsi="Times New Roman"/>
                <w:sz w:val="28"/>
                <w:szCs w:val="28"/>
              </w:rPr>
              <w:t xml:space="preserve"> </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84</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2</w:t>
            </w:r>
          </w:p>
        </w:tc>
        <w:tc>
          <w:tcPr>
            <w:tcW w:w="8869"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Mẫu biểu xóa tiền thuế nợ</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01/XOANO</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Văn bản đề nghị xóa tiền thuế nợ</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85</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02/XOANO</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Thông báo không thuộc trường hợp được xoá tiền thuế nợ</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1 Điều 85</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03/XOANO</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Thông báo bổ sung hồ sơ đề nghị xóa tiền thuế nợ</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1 Điều 85</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04/XOANO</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xoá tiền thuế nợ của Chủ tịch Ủy ban nhân dân cấp tỉnh</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1 Điều 85</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05/XOANO</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Quyết định về việc xoá tiền thuế nợ của Trưởng Thuế tỉnh, thành phố / Chi cục trưởng Chi cục Thuế doanh nghiệp lớn/ Chi cục trưởng Chi cục thuế thương mại điện tử </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khoản 1 Điều 85 </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06/XOANO</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xoá tiền thuế nợ của  Cục Thuế</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khoản 1 Điều 85 </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7</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07/XOANO</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Cục trưởngviệc xóa tiền thuế nợ của Bộ trưởng Bộ Tài chính</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khoản 1 Điều 85 </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3</w:t>
            </w:r>
          </w:p>
        </w:tc>
        <w:tc>
          <w:tcPr>
            <w:tcW w:w="8869"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Mẫu biểu Phục hồi tiền thuế nợ đã được xóa</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01/PHXOA</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Văn bản đề nghị phục hồi tiền thuế nợ đã được xóa</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4 Điều 85</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02/PHXOA</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Thông báo không thuộc trường hợp được phục hồi tiền thuế nợ đã được xóa </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bookmarkStart w:id="1" w:name="_heading=h.wg2d9zv8h8uy"/>
            <w:bookmarkEnd w:id="1"/>
            <w:r>
              <w:rPr>
                <w:rFonts w:eastAsia="Times New Roman" w:cs="Times New Roman" w:ascii="Times New Roman" w:hAnsi="Times New Roman"/>
                <w:sz w:val="28"/>
                <w:szCs w:val="28"/>
              </w:rPr>
              <w:t>khoản 3 Điều 85</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03/PHXOA</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Thông báo bổ sung hồ sơ đề nghị phục hồi tiền thuế nợ đã được xóa</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3 Điều 85</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04/PHXOA</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phục hồi tiền thuế nợ đã được xóa của Chủ tịch Ủy ban nhân dân cấp tỉnh</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3 Điều 85</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05/PHXOA</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phục hồi tiền thuế nợ đã được xóa của Trưởng Thuế tỉnh, thành phố/ Chi cục trưởng Chi cục Thuế doanh nghiệp lớn/ Chi cục trưởng Chi cục thuế thương mại điện tử</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3 Điều 85</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06/PHXOA</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phục hồi tiền thuế nợ đã được xóa của Cục trưởng Cục Thuế</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3 Điều 85</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7</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07/PHXOA</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phục hồi tiền thuế nợ đã được xóa của Bộ trưởngBộ Tài chính</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3 Điều 85</w:t>
            </w:r>
          </w:p>
        </w:tc>
      </w:tr>
      <w:tr>
        <w:trPr>
          <w:trHeight w:val="34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rPr>
              <w:t>4</w:t>
            </w:r>
          </w:p>
        </w:tc>
        <w:tc>
          <w:tcPr>
            <w:tcW w:w="8869"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Mẫu biểu Kiểm tra thuế </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01/KTT</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Thông báo về việc giải trình, bổ sung thông tin, tài liệu lần 1</w:t>
            </w:r>
          </w:p>
        </w:tc>
        <w:tc>
          <w:tcPr>
            <w:tcW w:w="1418" w:type="dxa"/>
            <w:vMerge w:val="restart"/>
            <w:tcBorders>
              <w:right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trike/>
                <w:sz w:val="28"/>
                <w:szCs w:val="28"/>
              </w:rPr>
            </w:pPr>
            <w:r>
              <w:rPr>
                <w:rFonts w:eastAsia="Times New Roman" w:cs="Times New Roman" w:ascii="Times New Roman" w:hAnsi="Times New Roman"/>
                <w:sz w:val="28"/>
                <w:szCs w:val="28"/>
              </w:rPr>
              <w:t>Điều 87</w:t>
            </w:r>
          </w:p>
        </w:tc>
      </w:tr>
      <w:tr>
        <w:trPr>
          <w:trHeight w:val="55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02/KTT</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Thông báo về việc giải trình, bổ sung thông tin, tài liệu lần 2</w:t>
            </w:r>
          </w:p>
        </w:tc>
        <w:tc>
          <w:tcPr>
            <w:tcW w:w="1418" w:type="dxa"/>
            <w:vMerge w:val="continue"/>
            <w:tcBorders>
              <w:right w:val="single" w:sz="6" w:space="0" w:color="000000"/>
              <w:insideV w:val="single" w:sz="6" w:space="0" w:color="000000"/>
            </w:tcBorders>
            <w:shd w:fill="auto" w:val="clear"/>
            <w:tcMar>
              <w:top w:w="40" w:type="dxa"/>
              <w:left w:w="80"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03/KTT</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Biên bản làm việc về việc giải trình, bổ sung thông tin, tài liệu</w:t>
            </w:r>
          </w:p>
        </w:tc>
        <w:tc>
          <w:tcPr>
            <w:tcW w:w="1418" w:type="dxa"/>
            <w:vMerge w:val="continue"/>
            <w:tcBorders>
              <w:right w:val="single" w:sz="6" w:space="0" w:color="000000"/>
              <w:insideV w:val="single" w:sz="6" w:space="0" w:color="000000"/>
            </w:tcBorders>
            <w:shd w:fill="auto" w:val="clear"/>
            <w:tcMar>
              <w:top w:w="40" w:type="dxa"/>
              <w:left w:w="80"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04/KTT</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kiểm tra thuế tại trụ sở cơ quan thuế</w:t>
            </w:r>
          </w:p>
        </w:tc>
        <w:tc>
          <w:tcPr>
            <w:tcW w:w="1418" w:type="dxa"/>
            <w:vMerge w:val="continue"/>
            <w:tcBorders>
              <w:right w:val="single" w:sz="6" w:space="0" w:color="000000"/>
              <w:insideV w:val="single" w:sz="6" w:space="0" w:color="000000"/>
            </w:tcBorders>
            <w:shd w:fill="auto" w:val="clear"/>
            <w:tcMar>
              <w:top w:w="40" w:type="dxa"/>
              <w:left w:w="80"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05/KTT</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Biên bản kiểm tra tại trụ sở cơ quan thuế</w:t>
            </w:r>
          </w:p>
        </w:tc>
        <w:tc>
          <w:tcPr>
            <w:tcW w:w="1418" w:type="dxa"/>
            <w:vMerge w:val="continue"/>
            <w:tcBorders>
              <w:bottom w:val="single" w:sz="4" w:space="0" w:color="000000"/>
              <w:right w:val="single" w:sz="6" w:space="0" w:color="000000"/>
              <w:insideH w:val="single" w:sz="4" w:space="0" w:color="000000"/>
              <w:insideV w:val="single" w:sz="6" w:space="0" w:color="000000"/>
            </w:tcBorders>
            <w:shd w:fill="auto" w:val="clear"/>
            <w:tcMar>
              <w:top w:w="40" w:type="dxa"/>
              <w:left w:w="80"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06/KTT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kiểm tra thuế</w:t>
            </w:r>
          </w:p>
        </w:tc>
        <w:tc>
          <w:tcPr>
            <w:tcW w:w="1418"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88</w:t>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88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7</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07/KTT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gia hạn thời hạn kiểm tra</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8</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08/KTT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Biên bản công bố Quyết định kiểm tra</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9</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09/KTT</w:t>
            </w:r>
          </w:p>
        </w:tc>
        <w:tc>
          <w:tcPr>
            <w:tcW w:w="4602" w:type="dxa"/>
            <w:tcBorders>
              <w:bottom w:val="single" w:sz="4" w:space="0" w:color="000000"/>
              <w:right w:val="single" w:sz="4" w:space="0" w:color="000000"/>
              <w:insideH w:val="single" w:sz="4"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bãi bỏ Quyết định kiểm tra</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10</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10/KTT</w:t>
            </w:r>
          </w:p>
        </w:tc>
        <w:tc>
          <w:tcPr>
            <w:tcW w:w="4602" w:type="dxa"/>
            <w:tcBorders>
              <w:top w:val="single" w:sz="4" w:space="0" w:color="000000"/>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Thông báo về việc hoãn thời gian kiểm tra</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11/KTT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thay đổi Trưởng đoàn kiểm tra</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12/KTT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điều chỉnh thành viên Đoàn kiểm tra</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13/KTT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điều chỉnh nội dung, thời kỳ kiểm tra thuế</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14/KTT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Biên bản kiểm tra</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15/KTT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Biên bản công khai và bàn giao dự thảo biên bản kiểm tra</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16/KTT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Phụ lục biên bản kiểm tra</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38</w:t>
            </w:r>
          </w:p>
        </w:tc>
        <w:tc>
          <w:tcPr>
            <w:tcW w:w="622"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Mar>
              <w:top w:w="40" w:type="dxa"/>
              <w:left w:w="72" w:type="dxa"/>
              <w:bottom w:w="40" w:type="dxa"/>
              <w:right w:w="80" w:type="dxa"/>
            </w:tcMa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17</w:t>
            </w:r>
          </w:p>
        </w:tc>
        <w:tc>
          <w:tcPr>
            <w:tcW w:w="2227" w:type="dxa"/>
            <w:tcBorders>
              <w:bottom w:val="single" w:sz="4" w:space="0" w:color="000000"/>
              <w:right w:val="single" w:sz="6" w:space="0" w:color="000000"/>
              <w:insideH w:val="single" w:sz="4"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17/KTT</w:t>
            </w:r>
          </w:p>
        </w:tc>
        <w:tc>
          <w:tcPr>
            <w:tcW w:w="4602" w:type="dxa"/>
            <w:tcBorders>
              <w:bottom w:val="single" w:sz="4" w:space="0" w:color="000000"/>
              <w:right w:val="single" w:sz="4" w:space="0" w:color="000000"/>
              <w:insideH w:val="single" w:sz="4"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Kết luận Kiểm tra thuế</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345" w:hRule="atLeast"/>
        </w:trPr>
        <w:tc>
          <w:tcPr>
            <w:tcW w:w="6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rPr>
              <w:t>5</w:t>
            </w:r>
          </w:p>
        </w:tc>
        <w:tc>
          <w:tcPr>
            <w:tcW w:w="8869"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6E4F0" w:val="clear"/>
            <w:tcMar>
              <w:top w:w="40" w:type="dxa"/>
              <w:left w:w="75"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Mẫu biểu Quyết định ấn định thuế (Chương IX)</w:t>
            </w:r>
          </w:p>
        </w:tc>
      </w:tr>
      <w:tr>
        <w:trPr>
          <w:trHeight w:val="34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39</w:t>
            </w:r>
          </w:p>
        </w:tc>
        <w:tc>
          <w:tcPr>
            <w:tcW w:w="622"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2227" w:type="dxa"/>
            <w:tcBorders>
              <w:top w:val="single" w:sz="4" w:space="0" w:color="000000"/>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01/AĐT</w:t>
            </w:r>
          </w:p>
        </w:tc>
        <w:tc>
          <w:tcPr>
            <w:tcW w:w="46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ấn định số thuế phải nộp</w:t>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98</w:t>
            </w:r>
          </w:p>
        </w:tc>
      </w:tr>
      <w:tr>
        <w:trPr>
          <w:trHeight w:val="34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rPr>
              <w:t>6</w:t>
            </w:r>
          </w:p>
        </w:tc>
        <w:tc>
          <w:tcPr>
            <w:tcW w:w="8869"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Mẫu biểu tạm hoãn xuất cảnh </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01/THXC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Thông báo về việc sẽ áp dụng biện pháp tạm hoãn xuất cảnh</w:t>
            </w:r>
          </w:p>
        </w:tc>
        <w:tc>
          <w:tcPr>
            <w:tcW w:w="1418" w:type="dxa"/>
            <w:vMerge w:val="restart"/>
            <w:tcBorders>
              <w:right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98</w:t>
            </w:r>
          </w:p>
        </w:tc>
      </w:tr>
      <w:tr>
        <w:trPr>
          <w:trHeight w:val="55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02/THXC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Thông báo về việc tạm hoãn xuất cảnh</w:t>
            </w:r>
          </w:p>
        </w:tc>
        <w:tc>
          <w:tcPr>
            <w:tcW w:w="1418" w:type="dxa"/>
            <w:vMerge w:val="continue"/>
            <w:tcBorders>
              <w:right w:val="single" w:sz="6" w:space="0" w:color="000000"/>
              <w:insideV w:val="single" w:sz="6" w:space="0" w:color="000000"/>
            </w:tcBorders>
            <w:shd w:fill="auto" w:val="clear"/>
            <w:tcMar>
              <w:top w:w="40" w:type="dxa"/>
              <w:left w:w="80"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5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03/THXC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Thông báo về việc gia hạn tạm hoãn xuất cảnh</w:t>
            </w:r>
          </w:p>
        </w:tc>
        <w:tc>
          <w:tcPr>
            <w:tcW w:w="1418" w:type="dxa"/>
            <w:vMerge w:val="continue"/>
            <w:tcBorders>
              <w:right w:val="single" w:sz="6" w:space="0" w:color="000000"/>
              <w:insideV w:val="single" w:sz="6" w:space="0" w:color="000000"/>
            </w:tcBorders>
            <w:shd w:fill="auto" w:val="clear"/>
            <w:tcMar>
              <w:top w:w="40" w:type="dxa"/>
              <w:left w:w="80"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840"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43</w:t>
            </w:r>
          </w:p>
        </w:tc>
        <w:tc>
          <w:tcPr>
            <w:tcW w:w="622"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c>
          <w:tcPr>
            <w:tcW w:w="2227" w:type="dxa"/>
            <w:tcBorders>
              <w:bottom w:val="single" w:sz="4" w:space="0" w:color="000000"/>
              <w:right w:val="single" w:sz="6" w:space="0" w:color="000000"/>
              <w:insideH w:val="single" w:sz="4"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04/THXC</w:t>
            </w:r>
          </w:p>
        </w:tc>
        <w:tc>
          <w:tcPr>
            <w:tcW w:w="4602" w:type="dxa"/>
            <w:tcBorders>
              <w:bottom w:val="single" w:sz="4" w:space="0" w:color="000000"/>
              <w:right w:val="single" w:sz="6" w:space="0" w:color="000000"/>
              <w:insideH w:val="single" w:sz="4"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Thông báo về việc hủy bỏ tạm hoãn xuất cảnh</w:t>
            </w:r>
          </w:p>
        </w:tc>
        <w:tc>
          <w:tcPr>
            <w:tcW w:w="1418" w:type="dxa"/>
            <w:vMerge w:val="continue"/>
            <w:tcBorders>
              <w:bottom w:val="single" w:sz="4" w:space="0" w:color="000000"/>
              <w:right w:val="single" w:sz="6" w:space="0" w:color="000000"/>
              <w:insideH w:val="single" w:sz="4" w:space="0" w:color="000000"/>
              <w:insideV w:val="single" w:sz="6" w:space="0" w:color="000000"/>
            </w:tcBorders>
            <w:shd w:fill="auto" w:val="clear"/>
            <w:tcMar>
              <w:top w:w="40" w:type="dxa"/>
              <w:left w:w="80" w:type="dxa"/>
              <w:bottom w:w="40" w:type="dxa"/>
              <w:right w:w="80" w:type="dxa"/>
            </w:tcMar>
          </w:tcPr>
          <w:p>
            <w:pPr>
              <w:pStyle w:val="Normal"/>
              <w:widowControl w:val="false"/>
              <w:pBdr/>
              <w:spacing w:before="0" w:after="0"/>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tc>
      </w:tr>
      <w:tr>
        <w:trPr>
          <w:trHeight w:val="345" w:hRule="atLeast"/>
        </w:trPr>
        <w:tc>
          <w:tcPr>
            <w:tcW w:w="621" w:type="dxa"/>
            <w:tcBorders>
              <w:left w:val="single" w:sz="6" w:space="0" w:color="000000"/>
              <w:bottom w:val="single" w:sz="6" w:space="0" w:color="000000"/>
              <w:right w:val="single" w:sz="4" w:space="0" w:color="000000"/>
              <w:insideH w:val="single" w:sz="6" w:space="0" w:color="000000"/>
              <w:insideV w:val="single" w:sz="4"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rPr>
              <w:t>7</w:t>
            </w:r>
          </w:p>
        </w:tc>
        <w:tc>
          <w:tcPr>
            <w:tcW w:w="8869"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6E4F0" w:val="clear"/>
            <w:tcMar>
              <w:top w:w="40" w:type="dxa"/>
              <w:left w:w="75"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Mẫu biểu cưỡng chế thi hành quyết định hành chính về quản lý thuế</w:t>
            </w:r>
          </w:p>
        </w:tc>
      </w:tr>
      <w:tr>
        <w:trPr>
          <w:trHeight w:val="345" w:hRule="atLeast"/>
        </w:trPr>
        <w:tc>
          <w:tcPr>
            <w:tcW w:w="62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44</w:t>
            </w:r>
          </w:p>
        </w:tc>
        <w:tc>
          <w:tcPr>
            <w:tcW w:w="622"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1</w:t>
            </w:r>
          </w:p>
        </w:tc>
        <w:tc>
          <w:tcPr>
            <w:tcW w:w="2227"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01/CC</w:t>
            </w:r>
          </w:p>
        </w:tc>
        <w:tc>
          <w:tcPr>
            <w:tcW w:w="4602"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trike/>
                <w:sz w:val="28"/>
                <w:szCs w:val="28"/>
              </w:rPr>
            </w:pPr>
            <w:r>
              <w:rPr>
                <w:rFonts w:eastAsia="Times New Roman" w:cs="Times New Roman" w:ascii="Times New Roman" w:hAnsi="Times New Roman"/>
                <w:sz w:val="28"/>
                <w:szCs w:val="28"/>
              </w:rPr>
              <w:t>Quyết định về việc cưỡng chế thi hành quyết định hành chính về quản lý thuế bằng biện pháp trích tiền từ tài khoản, phong tỏa tài khoản</w:t>
            </w:r>
          </w:p>
        </w:tc>
        <w:tc>
          <w:tcPr>
            <w:tcW w:w="1418"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45</w:t>
            </w:r>
          </w:p>
        </w:tc>
        <w:tc>
          <w:tcPr>
            <w:tcW w:w="622" w:type="dxa"/>
            <w:tcBorders>
              <w:left w:val="single" w:sz="4" w:space="0" w:color="000000"/>
              <w:bottom w:val="single" w:sz="6" w:space="0" w:color="000000"/>
              <w:right w:val="single" w:sz="6" w:space="0" w:color="000000"/>
              <w:insideH w:val="single" w:sz="6" w:space="0" w:color="000000"/>
              <w:insideV w:val="single" w:sz="6" w:space="0" w:color="000000"/>
            </w:tcBorders>
            <w:shd w:fill="auto" w:val="clear"/>
            <w:tcMar>
              <w:top w:w="40" w:type="dxa"/>
              <w:left w:w="75"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01-1/CC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Văn bản đề nghị cung cấp thông tin về tài khoản ngân hàng </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34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02/CC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cưỡng chế thi hành quyết định hành chính về quản lý thuế bằng biện pháp khấu trừ một phần tiền lương hoặc thu nhập</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02-1/CC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Văn bản đề nghị cung cấp thông tin về các khoản tiền lương hoặc thu nhập </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04/CC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cưỡng chế thi hành quyết định hành chính về quản lý thuế bằng biện pháp ngừng sử dụng hóa đơn</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04-1/CC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Văn bản đề nghị cưỡng chế bằng biện pháp ngừng sử dụng hóa đơn</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7</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04-2/CC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Thông báo về việc không thực hiện cưỡng chế bằng biện pháp ngừng sử dụng hóa đơn</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8</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01/DCCTK</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trike/>
                <w:sz w:val="28"/>
                <w:szCs w:val="28"/>
              </w:rPr>
            </w:pPr>
            <w:r>
              <w:rPr>
                <w:rFonts w:eastAsia="Times New Roman" w:cs="Times New Roman" w:ascii="Times New Roman" w:hAnsi="Times New Roman"/>
                <w:sz w:val="28"/>
                <w:szCs w:val="28"/>
              </w:rPr>
              <w:t>Quyết định tạm dừng cưỡng chế thi hành quyết định hành chính về quản lý thuế bằng biện pháp trích tiền từ tài khoản, phong tỏa tài khoản</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9</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05/CC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Quyết định về việc cưỡng chế thi hành quyết định hành chính về quản lý thuế bằng biện pháp thu tiền, tài sản khác của người nộp thuế bị cưỡng chế do cơ quan, tổ chức, cá nhân khác đang nắm giữ</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10</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05-1/CC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Văn bản đề nghị cung cấp thông tin về tiền, tài sản do Bên thứ ba đang nắm giữ </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11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06/CC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Văn bản đề nghị cưỡng chế bằng biện pháp kê biên tài sản, bán đấu giá tài sản kê biên </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55</w:t>
            </w:r>
          </w:p>
        </w:tc>
        <w:tc>
          <w:tcPr>
            <w:tcW w:w="622" w:type="dxa"/>
            <w:tcBorders>
              <w:left w:val="single" w:sz="4" w:space="0" w:color="000000"/>
              <w:bottom w:val="single" w:sz="6" w:space="0" w:color="000000"/>
              <w:right w:val="single" w:sz="6" w:space="0" w:color="000000"/>
              <w:insideH w:val="single" w:sz="6" w:space="0" w:color="000000"/>
              <w:insideV w:val="single" w:sz="6" w:space="0" w:color="000000"/>
            </w:tcBorders>
            <w:shd w:fill="auto" w:val="clear"/>
            <w:tcMar>
              <w:top w:w="40" w:type="dxa"/>
              <w:left w:w="75"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12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06-1/CC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Văn bản đề nghị cung cấp thông tin về tài sản của người nộp thuế bị cưỡng chế</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13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06-2/CC     </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Biên bản xác nhận kết quả xác minh tài sản</w:t>
            </w:r>
            <w:r>
              <w:rPr>
                <w:rFonts w:eastAsia="Times New Roman" w:cs="Times New Roman" w:ascii="Times New Roman" w:hAnsi="Times New Roman"/>
                <w:b/>
                <w:bCs/>
                <w:sz w:val="28"/>
                <w:szCs w:val="28"/>
              </w:rPr>
              <w:t xml:space="preserve">  </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14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07/CC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Văn bản đề nghị thu hồi giấy chứng nhận đăng ký kinh doanh</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07-1/CC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Văn bản đề nghị khôi phục tình trạng pháp lý của doanh nghiệp</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08/CC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Quyết định về việc chấm dứt hiệu lực quyết định cưỡng chế thi hành quyết định hành chính về quản lý thuế bằng biện pháp ... </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17</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08-1/CC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Văn bản đề nghị chấm dứt hiệu lực của quyết định cưỡng chế</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18</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09/CC</w:t>
            </w:r>
          </w:p>
        </w:tc>
        <w:tc>
          <w:tcPr>
            <w:tcW w:w="4602"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bookmarkStart w:id="2" w:name="bookmark=id.zi5v9e9fqv6u"/>
            <w:bookmarkEnd w:id="2"/>
            <w:r>
              <w:rPr>
                <w:rFonts w:eastAsia="Times New Roman" w:cs="Times New Roman" w:ascii="Times New Roman" w:hAnsi="Times New Roman"/>
                <w:sz w:val="28"/>
                <w:szCs w:val="28"/>
              </w:rPr>
              <w:t>Quyết định về việc giao quyền ban hành quyết định cưỡng chế thi hành quyết định hành chính về quản lý thuế</w:t>
            </w:r>
          </w:p>
        </w:tc>
        <w:tc>
          <w:tcPr>
            <w:tcW w:w="1418"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Khoản 2 Điều 98</w:t>
            </w:r>
          </w:p>
        </w:tc>
      </w:tr>
      <w:tr>
        <w:trPr>
          <w:trHeight w:val="34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rPr>
              <w:t>8</w:t>
            </w:r>
          </w:p>
        </w:tc>
        <w:tc>
          <w:tcPr>
            <w:tcW w:w="8869"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Mẫu biểu về uỷ nhiệm thu thuế và các khoản thu khác thuộc ngân sách nhà nước do cơ quan quản lý thuế quản lý thu</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01/UNT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Hợp đồng uỷ nhiệm thu</w:t>
            </w:r>
          </w:p>
        </w:tc>
        <w:tc>
          <w:tcPr>
            <w:tcW w:w="1418"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tabs>
                <w:tab w:val="left" w:pos="1353" w:leader="none"/>
              </w:tabs>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left" w:pos="1353" w:leader="none"/>
              </w:tabs>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left" w:pos="1353" w:leader="none"/>
              </w:tabs>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left" w:pos="1353" w:leader="none"/>
              </w:tabs>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left" w:pos="1353" w:leader="none"/>
              </w:tabs>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left" w:pos="1353" w:leader="none"/>
              </w:tabs>
              <w:spacing w:lineRule="auto" w:line="252" w:before="60" w:after="60"/>
              <w:rPr>
                <w:rFonts w:ascii="Times New Roman" w:hAnsi="Times New Roman" w:eastAsia="Times New Roman" w:cs="Times New Roman"/>
                <w:sz w:val="28"/>
                <w:szCs w:val="28"/>
              </w:rPr>
            </w:pPr>
            <w:r>
              <w:rPr>
                <w:rFonts w:eastAsia="Times New Roman" w:cs="Times New Roman" w:ascii="Times New Roman" w:hAnsi="Times New Roman"/>
                <w:sz w:val="28"/>
                <w:szCs w:val="28"/>
              </w:rPr>
              <w:t>Điều 95</w:t>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02/UNT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Biên bản thanh lý hợp đồng uỷ nhiệm thu</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03/UNT</w:t>
            </w:r>
          </w:p>
        </w:tc>
        <w:tc>
          <w:tcPr>
            <w:tcW w:w="4602" w:type="dxa"/>
            <w:tcBorders>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Tổng hợp số tiền thuế và các khoản thu khác thuộc ngân sách nhà nước do tổ chức được uỷ nhiệm thu thu và nộp ngân sách</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04/UNT</w:t>
            </w:r>
          </w:p>
        </w:tc>
        <w:tc>
          <w:tcPr>
            <w:tcW w:w="4602" w:type="dxa"/>
            <w:tcBorders>
              <w:bottom w:val="single" w:sz="4" w:space="0" w:color="000000"/>
              <w:right w:val="single" w:sz="4" w:space="0" w:color="000000"/>
              <w:insideH w:val="single" w:sz="4"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Báo cáo kết quả thu ngân sách nhà nước thông qua tổ chức được uỷ nhiệm thu</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85" w:hRule="atLeast"/>
        </w:trPr>
        <w:tc>
          <w:tcPr>
            <w:tcW w:w="62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05/UNT</w:t>
            </w:r>
          </w:p>
        </w:tc>
        <w:tc>
          <w:tcPr>
            <w:tcW w:w="4602" w:type="dxa"/>
            <w:tcBorders>
              <w:top w:val="single" w:sz="4" w:space="0" w:color="000000"/>
              <w:bottom w:val="single" w:sz="6" w:space="0" w:color="000000"/>
              <w:right w:val="single" w:sz="4" w:space="0" w:color="000000"/>
              <w:insideH w:val="single" w:sz="6" w:space="0" w:color="000000"/>
              <w:insideV w:val="single" w:sz="4"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Báo cáo tình hình sử dụng biên lai thu, chứng từ thu</w:t>
            </w:r>
          </w:p>
        </w:tc>
        <w:tc>
          <w:tcPr>
            <w:tcW w:w="141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40" w:type="dxa"/>
              <w:left w:w="75" w:type="dxa"/>
              <w:bottom w:w="40" w:type="dxa"/>
              <w:right w:w="80" w:type="dxa"/>
            </w:tcMar>
          </w:tcPr>
          <w:p>
            <w:pPr>
              <w:pStyle w:val="Normal"/>
              <w:widowControl w:val="false"/>
              <w:pBdr/>
              <w:spacing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bl>
    <w:p>
      <w:pPr>
        <w:pStyle w:val="Normal"/>
        <w:spacing w:before="0" w:after="200"/>
        <w:rPr/>
      </w:pPr>
      <w:r>
        <w:rPr/>
      </w:r>
    </w:p>
    <w:sectPr>
      <w:headerReference w:type="default" r:id="rId2"/>
      <w:type w:val="nextPage"/>
      <w:pgSz w:w="11906" w:h="16838"/>
      <w:pgMar w:left="1701" w:right="1134" w:header="567" w:top="1418" w:footer="0" w:bottom="1134" w:gutter="0"/>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Cambria">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tabs>
        <w:tab w:val="center" w:pos="4680" w:leader="none"/>
        <w:tab w:val="right" w:pos="9360" w:leader="none"/>
      </w:tabs>
      <w:spacing w:lineRule="auto" w:line="240" w:before="0" w:after="0"/>
      <w:jc w:val="center"/>
      <w:rPr/>
    </w:pPr>
    <w:r>
      <w:rPr>
        <w:rFonts w:eastAsia="Times New Roman" w:cs="Times New Roman" w:ascii="Times New Roman" w:hAnsi="Times New Roman"/>
        <w:color w:val="000000"/>
        <w:sz w:val="28"/>
        <w:szCs w:val="28"/>
      </w:rPr>
      <w:fldChar w:fldCharType="begin"/>
    </w:r>
    <w:r>
      <w:rPr>
        <w:sz w:val="28"/>
        <w:szCs w:val="28"/>
        <w:rFonts w:eastAsia="Times New Roman" w:cs="Times New Roman" w:ascii="Times New Roman" w:hAnsi="Times New Roman"/>
      </w:rPr>
      <w:instrText> PAGE </w:instrText>
    </w:r>
    <w:r>
      <w:rPr>
        <w:sz w:val="28"/>
        <w:szCs w:val="28"/>
        <w:rFonts w:eastAsia="Times New Roman" w:cs="Times New Roman" w:ascii="Times New Roman" w:hAnsi="Times New Roman"/>
      </w:rPr>
      <w:fldChar w:fldCharType="separate"/>
    </w:r>
    <w:r>
      <w:rPr>
        <w:sz w:val="28"/>
        <w:szCs w:val="28"/>
        <w:rFonts w:eastAsia="Times New Roman" w:cs="Times New Roman" w:ascii="Times New Roman" w:hAnsi="Times New Roman"/>
      </w:rPr>
      <w:t>3</w:t>
    </w:r>
    <w:r>
      <w:rPr>
        <w:sz w:val="28"/>
        <w:szCs w:val="28"/>
        <w:rFonts w:eastAsia="Times New Roman" w:cs="Times New Roman" w:ascii="Times New Roman" w:hAnsi="Times New Roman"/>
      </w:rPr>
      <w:fldChar w:fldCharType="end"/>
    </w:r>
  </w:p>
</w:hdr>
</file>

<file path=word/settings.xml><?xml version="1.0" encoding="utf-8"?>
<w:settings xmlns:w="http://schemas.openxmlformats.org/wordprocessingml/2006/main">
  <w:zoom w:percent="111"/>
  <w:embedTrueTypeFonts/>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vi"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Calibri"/>
      <w:color w:val="auto"/>
      <w:kern w:val="0"/>
      <w:sz w:val="22"/>
      <w:szCs w:val="22"/>
      <w:lang w:val="vi" w:eastAsia="en-US" w:bidi="ar-SA"/>
    </w:rPr>
  </w:style>
  <w:style w:type="paragraph" w:styleId="Heading1">
    <w:name w:val="Heading 1"/>
    <w:basedOn w:val="Normal"/>
    <w:next w:val="Normal"/>
    <w:uiPriority w:val="9"/>
    <w:qFormat/>
    <w:pPr>
      <w:keepNext w:val="true"/>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bCs/>
    </w:rPr>
  </w:style>
  <w:style w:type="paragraph" w:styleId="Heading6">
    <w:name w:val="Heading 6"/>
    <w:basedOn w:val="Normal"/>
    <w:next w:val="Normal"/>
    <w:uiPriority w:val="9"/>
    <w:semiHidden/>
    <w:unhideWhenUsed/>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uiPriority w:val="10"/>
    <w:qFormat/>
    <w:pPr>
      <w:keepNext w:val="true"/>
      <w:keepLines/>
      <w:spacing w:before="480" w:after="120"/>
    </w:pPr>
    <w:rPr>
      <w:b/>
      <w:bCs/>
      <w:sz w:val="72"/>
      <w:szCs w:val="72"/>
    </w:rPr>
  </w:style>
  <w:style w:type="paragraph" w:styleId="Subtitle">
    <w:name w:val="Subtitle"/>
    <w:basedOn w:val="Normal"/>
    <w:next w:val="Normal"/>
    <w:uiPriority w:val="11"/>
    <w:qFormat/>
    <w:pPr/>
    <w:rPr>
      <w:rFonts w:ascii="Cambria" w:hAnsi="Cambria" w:eastAsia="Cambria" w:cs="Cambria"/>
      <w:i/>
      <w:iCs/>
      <w:color w:val="4F81BD"/>
      <w:sz w:val="24"/>
      <w:szCs w:val="24"/>
    </w:rPr>
  </w:style>
  <w:style w:type="paragraph" w:styleId="Header">
    <w:name w:val="Header"/>
    <w:basedOn w:val="Normal"/>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NOEo1xmhSgYmRvAS4oTKmaDd5gw==">CgMxLjAyDmguYXE2Y2pqYzF6dm9pMg5oLndnMmQ5enY4aDh1eTIPaWQuemk1djllOWZxdjZ1OAByITFwUWNicnFYWTJJTUcySlg2RzJsM0tWQmNjOTRMdDBUVQ==</go:docsCustomData>
</go:gDocsCustomXmlDataStorage>
</file>

<file path=customXml/itemProps1.xml><?xml version="1.0" encoding="utf-8"?>
<ds:datastoreItem xmlns:ds="http://schemas.openxmlformats.org/officeDocument/2006/customXml" ds:itemID="{5D1D6903-F2E9-4748-91FE-895E6075011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LibreOffice/6.0.4.2$Windows_x86 LibreOffice_project/9b0d9b32d5dcda91d2f1a96dc04c645c450872bf</Application>
  <Pages>6</Pages>
  <Words>1565</Words>
  <Characters>5435</Characters>
  <CharactersWithSpaces>6698</CharactersWithSpaces>
  <Paragraphs>335</Paragraphs>
  <Company>TCT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2026-07-14T11:41:00Z</dcterms:created>
  <dc:creator/>
  <dc:description/>
  <dc:language>en-US</dc:language>
  <cp:lastModifiedBy>Huong, Nguyen Thi Lan Huong (CS-CT)</cp:lastModifiedBy>
  <cp:lastPrinted>2026-07-14T11:48:00Z</cp:lastPrinted>
  <dcterms:modified xsi:type="dcterms:W3CDTF">2026-07-14T12:05:00Z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TCT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