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A8" w:rsidRDefault="003B6CA8">
      <w:pPr>
        <w:spacing w:before="200" w:after="200" w:line="312" w:lineRule="auto"/>
        <w:jc w:val="both"/>
        <w:rPr>
          <w:sz w:val="26"/>
          <w:szCs w:val="26"/>
        </w:rPr>
      </w:pPr>
      <w:bookmarkStart w:id="0" w:name="_GoBack"/>
      <w:bookmarkEnd w:id="0"/>
    </w:p>
    <w:p w:rsidR="003B6CA8" w:rsidRPr="00294C9F" w:rsidRDefault="00294C9F" w:rsidP="00294C9F">
      <w:pPr>
        <w:spacing w:before="200" w:after="200" w:line="312" w:lineRule="auto"/>
        <w:jc w:val="center"/>
        <w:rPr>
          <w:b/>
          <w:color w:val="FF0000"/>
          <w:sz w:val="26"/>
          <w:szCs w:val="26"/>
        </w:rPr>
      </w:pPr>
      <w:r w:rsidRPr="00294C9F">
        <w:rPr>
          <w:b/>
          <w:color w:val="FF0000"/>
          <w:sz w:val="26"/>
          <w:szCs w:val="26"/>
        </w:rPr>
        <w:t>Phân bi</w:t>
      </w:r>
      <w:r w:rsidRPr="00294C9F">
        <w:rPr>
          <w:b/>
          <w:color w:val="FF0000"/>
          <w:sz w:val="26"/>
          <w:szCs w:val="26"/>
        </w:rPr>
        <w:t>ệ</w:t>
      </w:r>
      <w:r w:rsidRPr="00294C9F">
        <w:rPr>
          <w:b/>
          <w:color w:val="FF0000"/>
          <w:sz w:val="26"/>
          <w:szCs w:val="26"/>
        </w:rPr>
        <w:t>t T</w:t>
      </w:r>
      <w:r w:rsidRPr="00294C9F">
        <w:rPr>
          <w:b/>
          <w:color w:val="FF0000"/>
          <w:sz w:val="26"/>
          <w:szCs w:val="26"/>
        </w:rPr>
        <w:t>ộ</w:t>
      </w:r>
      <w:r w:rsidRPr="00294C9F">
        <w:rPr>
          <w:b/>
          <w:color w:val="FF0000"/>
          <w:sz w:val="26"/>
          <w:szCs w:val="26"/>
        </w:rPr>
        <w:t>i tr</w:t>
      </w:r>
      <w:r w:rsidRPr="00294C9F">
        <w:rPr>
          <w:b/>
          <w:color w:val="FF0000"/>
          <w:sz w:val="26"/>
          <w:szCs w:val="26"/>
        </w:rPr>
        <w:t>ộ</w:t>
      </w:r>
      <w:r w:rsidRPr="00294C9F">
        <w:rPr>
          <w:b/>
          <w:color w:val="FF0000"/>
          <w:sz w:val="26"/>
          <w:szCs w:val="26"/>
        </w:rPr>
        <w:t>m c</w:t>
      </w:r>
      <w:r w:rsidRPr="00294C9F">
        <w:rPr>
          <w:b/>
          <w:color w:val="FF0000"/>
          <w:sz w:val="26"/>
          <w:szCs w:val="26"/>
        </w:rPr>
        <w:t>ắ</w:t>
      </w:r>
      <w:r w:rsidRPr="00294C9F">
        <w:rPr>
          <w:b/>
          <w:color w:val="FF0000"/>
          <w:sz w:val="26"/>
          <w:szCs w:val="26"/>
        </w:rPr>
        <w:t>p tài s</w:t>
      </w:r>
      <w:r w:rsidRPr="00294C9F">
        <w:rPr>
          <w:b/>
          <w:color w:val="FF0000"/>
          <w:sz w:val="26"/>
          <w:szCs w:val="26"/>
        </w:rPr>
        <w:t>ả</w:t>
      </w:r>
      <w:r w:rsidRPr="00294C9F">
        <w:rPr>
          <w:b/>
          <w:color w:val="FF0000"/>
          <w:sz w:val="26"/>
          <w:szCs w:val="26"/>
        </w:rPr>
        <w:t>n, Cư</w:t>
      </w:r>
      <w:r w:rsidRPr="00294C9F">
        <w:rPr>
          <w:b/>
          <w:color w:val="FF0000"/>
          <w:sz w:val="26"/>
          <w:szCs w:val="26"/>
        </w:rPr>
        <w:t>ớ</w:t>
      </w:r>
      <w:r w:rsidRPr="00294C9F">
        <w:rPr>
          <w:b/>
          <w:color w:val="FF0000"/>
          <w:sz w:val="26"/>
          <w:szCs w:val="26"/>
        </w:rPr>
        <w:t>p tài s</w:t>
      </w:r>
      <w:r w:rsidRPr="00294C9F">
        <w:rPr>
          <w:b/>
          <w:color w:val="FF0000"/>
          <w:sz w:val="26"/>
          <w:szCs w:val="26"/>
        </w:rPr>
        <w:t>ả</w:t>
      </w:r>
      <w:r w:rsidRPr="00294C9F">
        <w:rPr>
          <w:b/>
          <w:color w:val="FF0000"/>
          <w:sz w:val="26"/>
          <w:szCs w:val="26"/>
        </w:rPr>
        <w:t>n và Cư</w:t>
      </w:r>
      <w:r w:rsidRPr="00294C9F">
        <w:rPr>
          <w:b/>
          <w:color w:val="FF0000"/>
          <w:sz w:val="26"/>
          <w:szCs w:val="26"/>
        </w:rPr>
        <w:t>ớ</w:t>
      </w:r>
      <w:r w:rsidRPr="00294C9F">
        <w:rPr>
          <w:b/>
          <w:color w:val="FF0000"/>
          <w:sz w:val="26"/>
          <w:szCs w:val="26"/>
        </w:rPr>
        <w:t>p gi</w:t>
      </w:r>
      <w:r w:rsidRPr="00294C9F">
        <w:rPr>
          <w:b/>
          <w:color w:val="FF0000"/>
          <w:sz w:val="26"/>
          <w:szCs w:val="26"/>
        </w:rPr>
        <w:t>ậ</w:t>
      </w:r>
      <w:r w:rsidRPr="00294C9F">
        <w:rPr>
          <w:b/>
          <w:color w:val="FF0000"/>
          <w:sz w:val="26"/>
          <w:szCs w:val="26"/>
        </w:rPr>
        <w:t>t tài s</w:t>
      </w:r>
      <w:r w:rsidRPr="00294C9F">
        <w:rPr>
          <w:b/>
          <w:color w:val="FF0000"/>
          <w:sz w:val="26"/>
          <w:szCs w:val="26"/>
        </w:rPr>
        <w:t>ả</w:t>
      </w:r>
      <w:r w:rsidRPr="00294C9F">
        <w:rPr>
          <w:b/>
          <w:color w:val="FF0000"/>
          <w:sz w:val="26"/>
          <w:szCs w:val="26"/>
        </w:rPr>
        <w:t>n</w:t>
      </w:r>
    </w:p>
    <w:p w:rsidR="003B6CA8" w:rsidRDefault="00294C9F">
      <w:pPr>
        <w:spacing w:before="200" w:after="20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tiêu chí phân bi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T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tr</w:t>
      </w:r>
      <w:r>
        <w:rPr>
          <w:sz w:val="26"/>
          <w:szCs w:val="26"/>
        </w:rPr>
        <w:t>ộ</w:t>
      </w:r>
      <w:r>
        <w:rPr>
          <w:sz w:val="26"/>
          <w:szCs w:val="26"/>
        </w:rPr>
        <w:t>m c</w:t>
      </w:r>
      <w:r>
        <w:rPr>
          <w:sz w:val="26"/>
          <w:szCs w:val="26"/>
        </w:rPr>
        <w:t>ắ</w:t>
      </w:r>
      <w:r>
        <w:rPr>
          <w:sz w:val="26"/>
          <w:szCs w:val="26"/>
        </w:rPr>
        <w:t>p tài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n, Cư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p tài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và Cư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p gi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tài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</w:t>
      </w:r>
    </w:p>
    <w:tbl>
      <w:tblPr>
        <w:tblStyle w:val="a"/>
        <w:tblW w:w="9810" w:type="dxa"/>
        <w:tblInd w:w="-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450"/>
        <w:gridCol w:w="2145"/>
        <w:gridCol w:w="2775"/>
      </w:tblGrid>
      <w:tr w:rsidR="003B6CA8">
        <w:trPr>
          <w:trHeight w:val="34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m c</w:t>
            </w:r>
            <w:r>
              <w:rPr>
                <w:b/>
                <w:sz w:val="26"/>
                <w:szCs w:val="26"/>
              </w:rPr>
              <w:t>ắ</w:t>
            </w:r>
            <w:r>
              <w:rPr>
                <w:b/>
                <w:sz w:val="26"/>
                <w:szCs w:val="26"/>
              </w:rPr>
              <w:t>p tài s</w:t>
            </w:r>
            <w:r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n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Cư</w:t>
            </w:r>
            <w:r>
              <w:rPr>
                <w:b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p tài s</w:t>
            </w:r>
            <w:r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n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Cư</w:t>
            </w:r>
            <w:r>
              <w:rPr>
                <w:b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p gi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t tài s</w:t>
            </w:r>
            <w:r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n</w:t>
            </w:r>
          </w:p>
        </w:tc>
      </w:tr>
      <w:tr w:rsidR="003B6CA8">
        <w:trPr>
          <w:trHeight w:val="61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Căn c</w:t>
            </w:r>
            <w:r>
              <w:rPr>
                <w:b/>
                <w:sz w:val="26"/>
                <w:szCs w:val="26"/>
              </w:rPr>
              <w:t>ứ</w:t>
            </w:r>
            <w:r>
              <w:rPr>
                <w:b/>
                <w:sz w:val="26"/>
                <w:szCs w:val="26"/>
              </w:rPr>
              <w:t xml:space="preserve"> pháp lý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 173 B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lu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hình s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2015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s</w:t>
            </w:r>
            <w:r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a đ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 b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>i kho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34 Đi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 1 Lu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s</w:t>
            </w:r>
            <w:r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a đ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 B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lu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Hình s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2017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u 168 BLHS 2015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CA8" w:rsidRDefault="00294C9F">
            <w:pPr>
              <w:spacing w:before="200" w:after="20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 171 BLHS 2015</w:t>
            </w:r>
          </w:p>
        </w:tc>
      </w:tr>
      <w:tr w:rsidR="003B6CA8">
        <w:trPr>
          <w:trHeight w:val="142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Hành vi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 vi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th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lén lút,kín đáo, che gi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 n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nhân và nh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ngư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xung quanh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 vi dùng vũ l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c, đe d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a dùng vũ l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ngay t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kh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 ho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c có hành vi khác làm cho ngư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b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n công lâm vào tình tr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 không th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 c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nh</w:t>
            </w:r>
            <w:r>
              <w:rPr>
                <w:sz w:val="26"/>
                <w:szCs w:val="26"/>
              </w:rPr>
              <w:t>ằ</w:t>
            </w:r>
            <w:r>
              <w:rPr>
                <w:sz w:val="26"/>
                <w:szCs w:val="26"/>
              </w:rPr>
              <w:t>m chi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m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t tài </w:t>
            </w: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i d</w:t>
            </w:r>
            <w:r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ng sơ h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ngư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qu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lý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ho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c có th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mình t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o ra nh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sơ h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th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hành vi công khai chi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m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đang sau đó nhanh chóng t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u thoát.</w:t>
            </w:r>
          </w:p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(Người ph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t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 không dùng vũ lực, không đe dọa dùng vũ lực cũng không làm ch</w:t>
            </w:r>
            <w:r>
              <w:rPr>
                <w:sz w:val="26"/>
                <w:szCs w:val="26"/>
              </w:rPr>
              <w:t>o nạn nhân lâm vào tình trạng không thể chống cự.)</w:t>
            </w:r>
          </w:p>
        </w:tc>
      </w:tr>
      <w:tr w:rsidR="003B6CA8">
        <w:trPr>
          <w:trHeight w:val="142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Tính ch</w:t>
            </w:r>
            <w:r>
              <w:rPr>
                <w:b/>
                <w:sz w:val="26"/>
                <w:szCs w:val="26"/>
              </w:rPr>
              <w:t>ấ</w:t>
            </w: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m vào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n, không gây 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nh hư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>ng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tính m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ng, s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kh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e n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nhân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m vào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n, nhưng xâm ph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s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an toàn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tính </w:t>
            </w:r>
            <w:r>
              <w:rPr>
                <w:sz w:val="26"/>
                <w:szCs w:val="26"/>
              </w:rPr>
              <w:lastRenderedPageBreak/>
              <w:t>m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ng, s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kh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e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n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nhân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m vào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n, có th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xâm ph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s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an toàn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tính m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ng, </w:t>
            </w:r>
            <w:r>
              <w:rPr>
                <w:sz w:val="26"/>
                <w:szCs w:val="26"/>
              </w:rPr>
              <w:lastRenderedPageBreak/>
              <w:t>s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kh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e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n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nhân</w:t>
            </w:r>
          </w:p>
        </w:tc>
      </w:tr>
      <w:tr w:rsidR="003B6CA8">
        <w:trPr>
          <w:trHeight w:val="142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Giá tr</w:t>
            </w:r>
            <w:r>
              <w:rPr>
                <w:b/>
                <w:sz w:val="26"/>
                <w:szCs w:val="26"/>
              </w:rPr>
              <w:t>ị</w:t>
            </w:r>
            <w:r>
              <w:rPr>
                <w:b/>
                <w:sz w:val="26"/>
                <w:szCs w:val="26"/>
              </w:rPr>
              <w:t xml:space="preserve"> tài s</w:t>
            </w:r>
            <w:r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n đ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 xml:space="preserve"> b</w:t>
            </w:r>
            <w:r>
              <w:rPr>
                <w:b/>
                <w:sz w:val="26"/>
                <w:szCs w:val="26"/>
              </w:rPr>
              <w:t>ị</w:t>
            </w:r>
            <w:r>
              <w:rPr>
                <w:b/>
                <w:sz w:val="26"/>
                <w:szCs w:val="26"/>
              </w:rPr>
              <w:t xml:space="preserve"> x</w:t>
            </w:r>
            <w:r>
              <w:rPr>
                <w:b/>
                <w:sz w:val="26"/>
                <w:szCs w:val="26"/>
              </w:rPr>
              <w:t>ử</w:t>
            </w:r>
            <w:r>
              <w:rPr>
                <w:b/>
                <w:sz w:val="26"/>
                <w:szCs w:val="26"/>
              </w:rPr>
              <w:t xml:space="preserve"> lý hình s</w:t>
            </w:r>
            <w:r>
              <w:rPr>
                <w:b/>
                <w:sz w:val="26"/>
                <w:szCs w:val="26"/>
              </w:rPr>
              <w:t>ự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có giá tr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2 tri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u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 tr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lên</w:t>
            </w:r>
          </w:p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c dư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 2 tri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u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 n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u thu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c các trư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 h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 sau:</w:t>
            </w:r>
          </w:p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Đã b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x</w:t>
            </w:r>
            <w:r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ph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vi ph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hành chính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 vi chi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m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mà còn vi ph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m;</w:t>
            </w:r>
          </w:p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Đã b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k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 án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 này ho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c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trong các t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 quy đ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 t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các đi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 168, 169, 170, 171, 172, 174, 175 và 290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B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lu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này, chưa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xóa án tích mà còn vi ph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m;</w:t>
            </w:r>
          </w:p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Gây 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nh hư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>ng x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an ninh, tr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t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, a</w:t>
            </w:r>
            <w:r>
              <w:rPr>
                <w:sz w:val="26"/>
                <w:szCs w:val="26"/>
              </w:rPr>
              <w:t>n toàn xã h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i;</w:t>
            </w:r>
          </w:p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là phương ti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m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 chính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ngư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b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và gia đình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;</w:t>
            </w:r>
          </w:p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là di v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t, c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có giá tr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i thi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có giá tr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i thi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</w:p>
        </w:tc>
      </w:tr>
      <w:tr w:rsidR="003B6CA8">
        <w:trPr>
          <w:trHeight w:val="142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Khung hình ph</w:t>
            </w:r>
            <w:r>
              <w:rPr>
                <w:b/>
                <w:sz w:val="26"/>
                <w:szCs w:val="26"/>
              </w:rPr>
              <w:t>ạ</w:t>
            </w: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 t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o không giam gi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20 năm tù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3 năm tù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chung thân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6CA8" w:rsidRDefault="00294C9F">
            <w:pPr>
              <w:spacing w:before="200" w:after="20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1 năm tù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chung thân</w:t>
            </w:r>
          </w:p>
        </w:tc>
      </w:tr>
    </w:tbl>
    <w:p w:rsidR="003B6CA8" w:rsidRDefault="003B6CA8">
      <w:pPr>
        <w:spacing w:before="200" w:after="200" w:line="312" w:lineRule="auto"/>
        <w:jc w:val="both"/>
        <w:rPr>
          <w:sz w:val="26"/>
          <w:szCs w:val="26"/>
        </w:rPr>
      </w:pPr>
    </w:p>
    <w:sectPr w:rsidR="003B6C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A8"/>
    <w:rsid w:val="00294C9F"/>
    <w:rsid w:val="003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04C3CF-8A09-4EE8-A863-01DD1478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2023-01-28T02:52:00Z</dcterms:created>
  <dcterms:modified xsi:type="dcterms:W3CDTF">2023-01-28T02:52:00Z</dcterms:modified>
</cp:coreProperties>
</file>