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FC" w:rsidRPr="00665BFC" w:rsidRDefault="00665BFC" w:rsidP="00665BFC">
      <w:pPr>
        <w:spacing w:after="0" w:line="234" w:lineRule="atLeast"/>
        <w:jc w:val="center"/>
        <w:rPr>
          <w:rFonts w:ascii="Arial" w:eastAsia="Times New Roman" w:hAnsi="Arial" w:cs="Arial"/>
          <w:color w:val="000000"/>
          <w:sz w:val="18"/>
          <w:szCs w:val="18"/>
        </w:rPr>
      </w:pPr>
      <w:bookmarkStart w:id="0" w:name="chuong_pl_5"/>
      <w:r w:rsidRPr="00665BFC">
        <w:rPr>
          <w:rFonts w:ascii="Arial" w:eastAsia="Times New Roman" w:hAnsi="Arial" w:cs="Arial"/>
          <w:b/>
          <w:bCs/>
          <w:color w:val="000000"/>
          <w:sz w:val="24"/>
          <w:szCs w:val="24"/>
          <w:lang w:val="vi-VN"/>
        </w:rPr>
        <w:t>PHỤ LỤC 5:</w:t>
      </w:r>
      <w:bookmarkEnd w:id="0"/>
    </w:p>
    <w:p w:rsidR="00665BFC" w:rsidRPr="00665BFC" w:rsidRDefault="00665BFC" w:rsidP="00665BFC">
      <w:pPr>
        <w:spacing w:after="0" w:line="234" w:lineRule="atLeast"/>
        <w:jc w:val="center"/>
        <w:rPr>
          <w:rFonts w:ascii="Arial" w:eastAsia="Times New Roman" w:hAnsi="Arial" w:cs="Arial"/>
          <w:color w:val="000000"/>
          <w:sz w:val="18"/>
          <w:szCs w:val="18"/>
        </w:rPr>
      </w:pPr>
      <w:bookmarkStart w:id="1" w:name="chuong_pl_5_name"/>
      <w:r w:rsidRPr="00665BFC">
        <w:rPr>
          <w:rFonts w:ascii="Arial" w:eastAsia="Times New Roman" w:hAnsi="Arial" w:cs="Arial"/>
          <w:color w:val="000000"/>
          <w:sz w:val="18"/>
          <w:szCs w:val="18"/>
          <w:lang w:val="vi-VN"/>
        </w:rPr>
        <w:t>DANH MỤC MÃ XĂNG, DẦU</w:t>
      </w:r>
      <w:bookmarkEnd w:id="1"/>
      <w:r w:rsidRPr="00665BFC">
        <w:rPr>
          <w:rFonts w:ascii="Arial" w:eastAsia="Times New Roman" w:hAnsi="Arial" w:cs="Arial"/>
          <w:color w:val="000000"/>
          <w:sz w:val="18"/>
          <w:szCs w:val="18"/>
          <w:lang w:val="vi-VN"/>
        </w:rPr>
        <w:br/>
      </w:r>
      <w:r w:rsidRPr="00665BFC">
        <w:rPr>
          <w:rFonts w:ascii="Arial" w:eastAsia="Times New Roman" w:hAnsi="Arial" w:cs="Arial"/>
          <w:i/>
          <w:iCs/>
          <w:color w:val="000000"/>
          <w:sz w:val="18"/>
          <w:szCs w:val="18"/>
          <w:lang w:val="vi-VN"/>
        </w:rPr>
        <w:t>(Ban hành kèm theo Quyết định số 824/QĐ-BYT ngày 15 tháng 02 năm 2023 của Bộ Y tế)</w:t>
      </w:r>
    </w:p>
    <w:tbl>
      <w:tblPr>
        <w:tblW w:w="5000" w:type="pct"/>
        <w:tblCellSpacing w:w="0" w:type="dxa"/>
        <w:tblCellMar>
          <w:left w:w="0" w:type="dxa"/>
          <w:right w:w="0" w:type="dxa"/>
        </w:tblCellMar>
        <w:tblLook w:val="04A0" w:firstRow="1" w:lastRow="0" w:firstColumn="1" w:lastColumn="0" w:noHBand="0" w:noVBand="1"/>
      </w:tblPr>
      <w:tblGrid>
        <w:gridCol w:w="667"/>
        <w:gridCol w:w="3813"/>
        <w:gridCol w:w="2286"/>
        <w:gridCol w:w="2574"/>
      </w:tblGrid>
      <w:tr w:rsidR="00665BFC" w:rsidRPr="00665BFC" w:rsidTr="00665BFC">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b/>
                <w:bCs/>
                <w:color w:val="000000"/>
                <w:sz w:val="18"/>
                <w:szCs w:val="18"/>
                <w:lang w:val="vi-VN"/>
              </w:rPr>
              <w:t>STT</w:t>
            </w:r>
          </w:p>
        </w:tc>
        <w:tc>
          <w:tcPr>
            <w:tcW w:w="2000" w:type="pct"/>
            <w:vMerge w:val="restart"/>
            <w:tcBorders>
              <w:top w:val="single" w:sz="8" w:space="0" w:color="auto"/>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b/>
                <w:bCs/>
                <w:color w:val="000000"/>
                <w:sz w:val="18"/>
                <w:szCs w:val="18"/>
                <w:lang w:val="vi-VN"/>
              </w:rPr>
              <w:t>Loại xăng, dầu</w:t>
            </w:r>
          </w:p>
        </w:tc>
        <w:tc>
          <w:tcPr>
            <w:tcW w:w="2550" w:type="pct"/>
            <w:gridSpan w:val="2"/>
            <w:tcBorders>
              <w:top w:val="single" w:sz="8" w:space="0" w:color="auto"/>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b/>
                <w:bCs/>
                <w:color w:val="000000"/>
                <w:sz w:val="18"/>
                <w:szCs w:val="18"/>
                <w:lang w:val="vi-VN"/>
              </w:rPr>
              <w:t>Mã xăng, dầu</w:t>
            </w:r>
          </w:p>
        </w:tc>
      </w:tr>
      <w:tr w:rsidR="00665BFC" w:rsidRPr="00665BFC" w:rsidTr="00665BFC">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5BFC" w:rsidRPr="00665BFC" w:rsidRDefault="00665BFC" w:rsidP="00665BF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65BFC" w:rsidRPr="00665BFC" w:rsidRDefault="00665BFC" w:rsidP="00665BFC">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b/>
                <w:bCs/>
                <w:color w:val="000000"/>
                <w:sz w:val="18"/>
                <w:szCs w:val="18"/>
                <w:lang w:val="vi-VN"/>
              </w:rPr>
              <w:t>Vùng 1</w:t>
            </w:r>
          </w:p>
        </w:tc>
        <w:tc>
          <w:tcPr>
            <w:tcW w:w="135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b/>
                <w:bCs/>
                <w:color w:val="000000"/>
                <w:sz w:val="18"/>
                <w:szCs w:val="18"/>
                <w:lang w:val="vi-VN"/>
              </w:rPr>
              <w:t>Vùng 2</w:t>
            </w:r>
          </w:p>
        </w:tc>
      </w:tr>
      <w:tr w:rsidR="00665BFC" w:rsidRPr="00665BFC" w:rsidTr="00665BFC">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1</w:t>
            </w:r>
          </w:p>
        </w:tc>
        <w:tc>
          <w:tcPr>
            <w:tcW w:w="20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Xăng RON 95-IV</w:t>
            </w:r>
          </w:p>
        </w:tc>
        <w:tc>
          <w:tcPr>
            <w:tcW w:w="12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R954V1</w:t>
            </w:r>
          </w:p>
        </w:tc>
        <w:tc>
          <w:tcPr>
            <w:tcW w:w="135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R954V2</w:t>
            </w:r>
          </w:p>
        </w:tc>
      </w:tr>
      <w:tr w:rsidR="00665BFC" w:rsidRPr="00665BFC" w:rsidTr="00665BFC">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2</w:t>
            </w:r>
          </w:p>
        </w:tc>
        <w:tc>
          <w:tcPr>
            <w:tcW w:w="20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Xăng RON95-III</w:t>
            </w:r>
          </w:p>
        </w:tc>
        <w:tc>
          <w:tcPr>
            <w:tcW w:w="12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R953V1</w:t>
            </w:r>
          </w:p>
        </w:tc>
        <w:tc>
          <w:tcPr>
            <w:tcW w:w="135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R953V2</w:t>
            </w:r>
          </w:p>
        </w:tc>
      </w:tr>
      <w:tr w:rsidR="00665BFC" w:rsidRPr="00665BFC" w:rsidTr="00665BFC">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3</w:t>
            </w:r>
          </w:p>
        </w:tc>
        <w:tc>
          <w:tcPr>
            <w:tcW w:w="20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Xăng sinh học E5 RON 92-</w:t>
            </w:r>
            <w:r w:rsidRPr="00665BFC">
              <w:rPr>
                <w:rFonts w:ascii="Arial" w:eastAsia="Times New Roman" w:hAnsi="Arial" w:cs="Arial"/>
                <w:color w:val="000000"/>
                <w:sz w:val="18"/>
                <w:szCs w:val="18"/>
              </w:rPr>
              <w:t>II</w:t>
            </w:r>
          </w:p>
        </w:tc>
        <w:tc>
          <w:tcPr>
            <w:tcW w:w="12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E922V1</w:t>
            </w:r>
          </w:p>
        </w:tc>
        <w:tc>
          <w:tcPr>
            <w:tcW w:w="135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E922V2</w:t>
            </w:r>
          </w:p>
        </w:tc>
      </w:tr>
      <w:tr w:rsidR="00665BFC" w:rsidRPr="00665BFC" w:rsidTr="00665BFC">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4</w:t>
            </w:r>
          </w:p>
        </w:tc>
        <w:tc>
          <w:tcPr>
            <w:tcW w:w="20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Dầu DO 0,001S-V</w:t>
            </w:r>
          </w:p>
        </w:tc>
        <w:tc>
          <w:tcPr>
            <w:tcW w:w="12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D1S5V1</w:t>
            </w:r>
          </w:p>
        </w:tc>
        <w:tc>
          <w:tcPr>
            <w:tcW w:w="135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D1S5V2</w:t>
            </w:r>
          </w:p>
        </w:tc>
      </w:tr>
      <w:tr w:rsidR="00665BFC" w:rsidRPr="00665BFC" w:rsidTr="00665BFC">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5</w:t>
            </w:r>
          </w:p>
        </w:tc>
        <w:tc>
          <w:tcPr>
            <w:tcW w:w="20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Dầu DO 0</w:t>
            </w:r>
            <w:r w:rsidRPr="00665BFC">
              <w:rPr>
                <w:rFonts w:ascii="Arial" w:eastAsia="Times New Roman" w:hAnsi="Arial" w:cs="Arial"/>
                <w:color w:val="000000"/>
                <w:sz w:val="18"/>
                <w:szCs w:val="18"/>
              </w:rPr>
              <w:t>,</w:t>
            </w:r>
            <w:r w:rsidRPr="00665BFC">
              <w:rPr>
                <w:rFonts w:ascii="Arial" w:eastAsia="Times New Roman" w:hAnsi="Arial" w:cs="Arial"/>
                <w:color w:val="000000"/>
                <w:sz w:val="18"/>
                <w:szCs w:val="18"/>
                <w:lang w:val="vi-VN"/>
              </w:rPr>
              <w:t>05S-II</w:t>
            </w:r>
          </w:p>
        </w:tc>
        <w:tc>
          <w:tcPr>
            <w:tcW w:w="12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D5S2V1</w:t>
            </w:r>
          </w:p>
        </w:tc>
        <w:tc>
          <w:tcPr>
            <w:tcW w:w="135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D5S2V2</w:t>
            </w:r>
          </w:p>
        </w:tc>
      </w:tr>
      <w:tr w:rsidR="00665BFC" w:rsidRPr="00665BFC" w:rsidTr="00665BFC">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6</w:t>
            </w:r>
          </w:p>
        </w:tc>
        <w:tc>
          <w:tcPr>
            <w:tcW w:w="20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Xăng RON 95-V</w:t>
            </w:r>
          </w:p>
        </w:tc>
        <w:tc>
          <w:tcPr>
            <w:tcW w:w="120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R955V1</w:t>
            </w:r>
          </w:p>
        </w:tc>
        <w:tc>
          <w:tcPr>
            <w:tcW w:w="1350" w:type="pct"/>
            <w:tcBorders>
              <w:top w:val="nil"/>
              <w:left w:val="nil"/>
              <w:bottom w:val="single" w:sz="8" w:space="0" w:color="auto"/>
              <w:right w:val="single" w:sz="8" w:space="0" w:color="auto"/>
            </w:tcBorders>
            <w:vAlign w:val="center"/>
            <w:hideMark/>
          </w:tcPr>
          <w:p w:rsidR="00665BFC" w:rsidRPr="00665BFC" w:rsidRDefault="00665BFC" w:rsidP="00665BFC">
            <w:pPr>
              <w:spacing w:before="120" w:after="120" w:line="234" w:lineRule="atLeast"/>
              <w:jc w:val="center"/>
              <w:rPr>
                <w:rFonts w:ascii="Arial" w:eastAsia="Times New Roman" w:hAnsi="Arial" w:cs="Arial"/>
                <w:color w:val="000000"/>
                <w:sz w:val="18"/>
                <w:szCs w:val="18"/>
              </w:rPr>
            </w:pPr>
            <w:r w:rsidRPr="00665BFC">
              <w:rPr>
                <w:rFonts w:ascii="Arial" w:eastAsia="Times New Roman" w:hAnsi="Arial" w:cs="Arial"/>
                <w:color w:val="000000"/>
                <w:sz w:val="18"/>
                <w:szCs w:val="18"/>
                <w:lang w:val="vi-VN"/>
              </w:rPr>
              <w:t>R955V2</w:t>
            </w:r>
          </w:p>
        </w:tc>
      </w:tr>
    </w:tbl>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b/>
          <w:bCs/>
          <w:color w:val="000000"/>
          <w:sz w:val="18"/>
          <w:szCs w:val="18"/>
          <w:lang w:val="vi-VN"/>
        </w:rPr>
        <w:t>Ghi chú:</w:t>
      </w:r>
    </w:p>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 Chỉ thanh toán chi phí vận chuyển người bệnh theo quy định tại khoản 1 Điều 26 Nghị định 146/2018/NĐ-CP</w:t>
      </w:r>
    </w:p>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 Việc thanh toán loại xăng, dầu căn cứ vào hóa đơn mua xăng, dầu hợp pháp</w:t>
      </w:r>
    </w:p>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 Đơn giá xăng, dầu tính theo địa bàn mà cơ sở khám bệnh, chữa bệnh chuyển người bệnh đi</w:t>
      </w:r>
    </w:p>
    <w:p w:rsidR="00665BFC" w:rsidRPr="00665BFC" w:rsidRDefault="00665BFC" w:rsidP="00665BFC">
      <w:pPr>
        <w:spacing w:after="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 Mức thanh toán: Theo định mức quy định tại khoản 2 Điều 26 Nghị định </w:t>
      </w:r>
      <w:hyperlink r:id="rId4" w:tgtFrame="_blank" w:tooltip="Nghị định 146/2018/NĐ-CP" w:history="1">
        <w:r w:rsidRPr="00665BFC">
          <w:rPr>
            <w:rFonts w:ascii="Arial" w:eastAsia="Times New Roman" w:hAnsi="Arial" w:cs="Arial"/>
            <w:color w:val="0E70C3"/>
            <w:sz w:val="18"/>
            <w:szCs w:val="18"/>
            <w:lang w:val="vi-VN"/>
          </w:rPr>
          <w:t>146/2018/NĐ-CP</w:t>
        </w:r>
      </w:hyperlink>
      <w:r w:rsidRPr="00665BFC">
        <w:rPr>
          <w:rFonts w:ascii="Arial" w:eastAsia="Times New Roman" w:hAnsi="Arial" w:cs="Arial"/>
          <w:color w:val="000000"/>
          <w:sz w:val="18"/>
          <w:szCs w:val="18"/>
          <w:lang w:val="vi-VN"/>
        </w:rPr>
        <w:t> , trong đó:</w:t>
      </w:r>
    </w:p>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 Giá xăng, dầu áp dụng theo thời điểm (giờ) vận chuyển người bệnh đi theo công bố của cơ quan quản lý có thẩm quyền (Căn cứ giờ vận chuyển ghi trên giấy chuyển tuyến)</w:t>
      </w:r>
    </w:p>
    <w:p w:rsidR="00665BFC" w:rsidRPr="00665BFC" w:rsidRDefault="00665BFC" w:rsidP="00665BFC">
      <w:pPr>
        <w:spacing w:before="120" w:after="120" w:line="234" w:lineRule="atLeast"/>
        <w:rPr>
          <w:rFonts w:ascii="Arial" w:eastAsia="Times New Roman" w:hAnsi="Arial" w:cs="Arial"/>
          <w:color w:val="000000"/>
          <w:sz w:val="18"/>
          <w:szCs w:val="18"/>
        </w:rPr>
      </w:pPr>
      <w:r w:rsidRPr="00665BFC">
        <w:rPr>
          <w:rFonts w:ascii="Arial" w:eastAsia="Times New Roman" w:hAnsi="Arial" w:cs="Arial"/>
          <w:color w:val="000000"/>
          <w:sz w:val="18"/>
          <w:szCs w:val="18"/>
          <w:lang w:val="vi-VN"/>
        </w:rPr>
        <w:t>+ Trường hợp xe vận chuyển người bệnh không sử dụng xăng, dầu (Ví dụ: xe chạy điện,...) thì áp dụng mức thanh toán theo giá xăng RON92</w:t>
      </w:r>
    </w:p>
    <w:p w:rsidR="00D61DCF" w:rsidRDefault="00D61DCF">
      <w:bookmarkStart w:id="2" w:name="_GoBack"/>
      <w:bookmarkEnd w:id="2"/>
    </w:p>
    <w:sectPr w:rsidR="00D61D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FC"/>
    <w:rsid w:val="001C3441"/>
    <w:rsid w:val="00231EC8"/>
    <w:rsid w:val="0027592C"/>
    <w:rsid w:val="00665BFC"/>
    <w:rsid w:val="00707D37"/>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8CD41-8013-4D64-91CA-9086589B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B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e-thao-y-te/nghi-dinh-146-2018-nd-cp-huong-dan-luat-bao-hiem-y-te-3575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2023-02-16T09:37:00Z</dcterms:created>
  <dcterms:modified xsi:type="dcterms:W3CDTF">2023-02-16T09:37:00Z</dcterms:modified>
</cp:coreProperties>
</file>