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CF" w:rsidRDefault="008D4D36" w:rsidP="008D4D36">
      <w:pPr>
        <w:jc w:val="center"/>
        <w:rPr>
          <w:rFonts w:ascii="Arial" w:hAnsi="Arial" w:cs="Arial"/>
          <w:b/>
          <w:bCs/>
          <w:color w:val="000000"/>
          <w:sz w:val="26"/>
          <w:szCs w:val="26"/>
        </w:rPr>
      </w:pPr>
      <w:bookmarkStart w:id="0" w:name="_GoBack"/>
      <w:r>
        <w:rPr>
          <w:rFonts w:ascii="Arial" w:hAnsi="Arial" w:cs="Arial"/>
          <w:b/>
          <w:bCs/>
          <w:color w:val="000000"/>
          <w:sz w:val="26"/>
          <w:szCs w:val="26"/>
        </w:rPr>
        <w:t>Phân biệt miễn nhiệm, bãi nhiệm và cách chức</w:t>
      </w:r>
    </w:p>
    <w:tbl>
      <w:tblPr>
        <w:tblW w:w="0" w:type="auto"/>
        <w:tblCellMar>
          <w:top w:w="15" w:type="dxa"/>
          <w:left w:w="15" w:type="dxa"/>
          <w:bottom w:w="15" w:type="dxa"/>
          <w:right w:w="15" w:type="dxa"/>
        </w:tblCellMar>
        <w:tblLook w:val="04A0" w:firstRow="1" w:lastRow="0" w:firstColumn="1" w:lastColumn="0" w:noHBand="0" w:noVBand="1"/>
      </w:tblPr>
      <w:tblGrid>
        <w:gridCol w:w="1436"/>
        <w:gridCol w:w="2731"/>
        <w:gridCol w:w="2536"/>
        <w:gridCol w:w="2641"/>
      </w:tblGrid>
      <w:tr w:rsidR="008D4D36" w:rsidRPr="008D4D36" w:rsidTr="008D4D36">
        <w:trPr>
          <w:trHeight w:val="1095"/>
        </w:trPr>
        <w:tc>
          <w:tcPr>
            <w:tcW w:w="0" w:type="auto"/>
            <w:tcBorders>
              <w:top w:val="single" w:sz="6" w:space="0" w:color="808080"/>
              <w:left w:val="single" w:sz="6" w:space="0" w:color="808080"/>
              <w:bottom w:val="single" w:sz="6" w:space="0" w:color="808080"/>
              <w:right w:val="single" w:sz="6" w:space="0" w:color="808080"/>
            </w:tcBorders>
            <w:hideMark/>
          </w:tcPr>
          <w:bookmarkEnd w:id="0"/>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t>Tiêu chí phân biệt</w:t>
            </w:r>
          </w:p>
        </w:tc>
        <w:tc>
          <w:tcPr>
            <w:tcW w:w="0" w:type="auto"/>
            <w:tcBorders>
              <w:top w:val="single" w:sz="6" w:space="0" w:color="808080"/>
              <w:left w:val="single" w:sz="6" w:space="0" w:color="808080"/>
              <w:bottom w:val="single" w:sz="6" w:space="0" w:color="808080"/>
              <w:right w:val="single" w:sz="6" w:space="0" w:color="808080"/>
            </w:tcBorders>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t>Miễn nhiệm</w:t>
            </w:r>
          </w:p>
        </w:tc>
        <w:tc>
          <w:tcPr>
            <w:tcW w:w="0" w:type="auto"/>
            <w:tcBorders>
              <w:top w:val="single" w:sz="6" w:space="0" w:color="808080"/>
              <w:left w:val="single" w:sz="6" w:space="0" w:color="808080"/>
              <w:bottom w:val="single" w:sz="6" w:space="0" w:color="808080"/>
              <w:right w:val="single" w:sz="6" w:space="0" w:color="808080"/>
            </w:tcBorders>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t>Bãi nhiệm</w:t>
            </w:r>
          </w:p>
        </w:tc>
        <w:tc>
          <w:tcPr>
            <w:tcW w:w="0" w:type="auto"/>
            <w:tcBorders>
              <w:top w:val="single" w:sz="6" w:space="0" w:color="808080"/>
              <w:left w:val="single" w:sz="6" w:space="0" w:color="808080"/>
              <w:bottom w:val="single" w:sz="6" w:space="0" w:color="808080"/>
              <w:right w:val="single" w:sz="6" w:space="0" w:color="808080"/>
            </w:tcBorders>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t>Cách chức</w:t>
            </w:r>
          </w:p>
        </w:tc>
      </w:tr>
      <w:tr w:rsidR="008D4D36" w:rsidRPr="008D4D36" w:rsidTr="008D4D36">
        <w:trPr>
          <w:trHeight w:val="990"/>
        </w:trPr>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t>Đối tượng áp dụng</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Cán bộ, công chức</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Cán bộ</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Cán bộ, công chức</w:t>
            </w:r>
          </w:p>
        </w:tc>
      </w:tr>
      <w:tr w:rsidR="008D4D36" w:rsidRPr="008D4D36" w:rsidTr="008D4D36">
        <w:trPr>
          <w:trHeight w:val="2325"/>
        </w:trPr>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t>Khái niệm</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Là việc cán bộ, công chức được thôi giữ chức vụ, chức danh khi chưa hết nhiệm kỳ hoặc chưa hết thời hạn bổ nhiệm.</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Là việc CB không được tiếp tục giữ chức vụ, chức danh khi chưa hết nhiệm kỳ.</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Cách chức là việc cán bộ, công chức lãnh đạo, quản lý không được tiếp tục giữ chức vụ lãnh đạo, quản lý khi chưa hết nhiệm kỳ hoặc chưa hết thời hạn bổ nhiệm</w:t>
            </w:r>
          </w:p>
        </w:tc>
      </w:tr>
      <w:tr w:rsidR="008D4D36" w:rsidRPr="008D4D36" w:rsidTr="008D4D36">
        <w:trPr>
          <w:trHeight w:val="2325"/>
        </w:trPr>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t>Khi nào thì bổ nhiệm, miễn nhiệm, bãi nhiệm?</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Đối với cán bộ:</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Cán bộ có 02 năm liên tiếp không hoàn thành nhiệm vụ sẽ bị miễn nhiệm bởi cơ quan, tổ chức có thẩm quyền;</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Cán bộ có thể chủ động xin miễn nhiệm khi:</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Không đủ sức khỏe;</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Không đủ năng lực, uy tín;</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Theo yêu cầu nhiệm vụ;</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Vì lý do khác.</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**Đối với công chức:</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lastRenderedPageBreak/>
              <w:t>- Được cấp có thẩm quyền điều động, luân chuyển, bố trí, phân công công tác khác mà không được kiêm nhiệm chức vụ cũ;</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Không đủ sức khỏe để tiếp tục lãnh đạo, quản lý;</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Không hoàn thành nhiệm vụ hoặc vi phạm kỷ luật của Đảng, vi phạm pháp luật của Nhà nước nhưng chưa đến mức bị kỷ luật.</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Không đủ năng lực, uy tín để làm việc;</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Vi phạm quy định của cơ quan có thẩm quyền về bảo vệ chính trị nội bộ.</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lastRenderedPageBreak/>
              <w:t> </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xml:space="preserve">Cán bộ vi phạm quy định của </w:t>
            </w:r>
            <w:hyperlink r:id="rId4" w:history="1">
              <w:r w:rsidRPr="008D4D36">
                <w:rPr>
                  <w:rFonts w:ascii="Arial" w:eastAsia="Times New Roman" w:hAnsi="Arial" w:cs="Arial"/>
                  <w:color w:val="1155CC"/>
                  <w:sz w:val="26"/>
                  <w:szCs w:val="26"/>
                  <w:u w:val="single"/>
                </w:rPr>
                <w:t>Luật Cán bộ, công chức 2008</w:t>
              </w:r>
            </w:hyperlink>
            <w:r w:rsidRPr="008D4D36">
              <w:rPr>
                <w:rFonts w:ascii="Arial" w:eastAsia="Times New Roman" w:hAnsi="Arial" w:cs="Arial"/>
                <w:color w:val="000000"/>
                <w:sz w:val="26"/>
                <w:szCs w:val="26"/>
              </w:rPr>
              <w:t>,các quy định khác của pháp luật có liên quan thì sẽ bị xem xét bãi nhiệm.</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Cán bộ, công chức thuộc một trong các trường hợp:</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Do có hành vi vi phạm pháp luật</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Vi phạm về phẩm chất đạo đức</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Không còn xứng đáng giữ chức vụ được giao</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Chỉ áp dụng với cán bộ được phê chuẩn giữ chức vụ theo nhiệm kỳ</w:t>
            </w:r>
          </w:p>
          <w:p w:rsidR="008D4D36" w:rsidRPr="008D4D36" w:rsidRDefault="008D4D36" w:rsidP="008D4D36">
            <w:pPr>
              <w:spacing w:after="0" w:line="240" w:lineRule="auto"/>
              <w:rPr>
                <w:rFonts w:ascii="Times New Roman" w:eastAsia="Times New Roman" w:hAnsi="Times New Roman" w:cs="Times New Roman"/>
                <w:sz w:val="24"/>
                <w:szCs w:val="24"/>
              </w:rPr>
            </w:pPr>
          </w:p>
        </w:tc>
      </w:tr>
      <w:tr w:rsidR="008D4D36" w:rsidRPr="008D4D36" w:rsidTr="008D4D36">
        <w:trPr>
          <w:trHeight w:val="2325"/>
        </w:trPr>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b/>
                <w:bCs/>
                <w:color w:val="000000"/>
                <w:sz w:val="26"/>
                <w:szCs w:val="26"/>
              </w:rPr>
              <w:lastRenderedPageBreak/>
              <w:t>Hệ quả pháp lý</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Cán bộ sẽ thôi không còn làm việc tại cơ quan, đơn vị nhà nước nữa.</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Công chức lãnh đạo, quản lý sau khi từ chức hoặc miễn nhiệm được bố trí công tác phù hợp với chuyên môn, nghiệp vụ được đào tạo hoặc nghỉ hưu, thôi việc.</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xml:space="preserve">- Công chức lãnh đạo, quản lý xin miễn nhiệm nhưng chưa được cấp có thẩm quyền đồng ý </w:t>
            </w:r>
            <w:r w:rsidRPr="008D4D36">
              <w:rPr>
                <w:rFonts w:ascii="Arial" w:eastAsia="Times New Roman" w:hAnsi="Arial" w:cs="Arial"/>
                <w:color w:val="000000"/>
                <w:sz w:val="26"/>
                <w:szCs w:val="26"/>
              </w:rPr>
              <w:lastRenderedPageBreak/>
              <w:t>vẫn phải tiếp tục thực hiện nhiệm vụ, quyền hạn của mình.</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lastRenderedPageBreak/>
              <w:t> </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Không được tiếp tục giữ chức vụ, chức danh</w:t>
            </w:r>
          </w:p>
        </w:tc>
        <w:tc>
          <w:tcPr>
            <w:tcW w:w="0" w:type="auto"/>
            <w:tcBorders>
              <w:top w:val="single" w:sz="6" w:space="0" w:color="808080"/>
              <w:left w:val="single" w:sz="6" w:space="0" w:color="808080"/>
              <w:bottom w:val="single" w:sz="6" w:space="0" w:color="808080"/>
              <w:right w:val="single" w:sz="6" w:space="0" w:color="808080"/>
            </w:tcBorders>
            <w:shd w:val="clear" w:color="auto" w:fill="FFFFFF"/>
            <w:hideMark/>
          </w:tcPr>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Cán bộ, công chức bị kéo dài thời gian lương 12 tháng</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Cán bộ, công chức không được nâng ngạch, đào tạo, bổ nhiệm trong thời hạn 12 tháng</w:t>
            </w:r>
          </w:p>
          <w:p w:rsidR="008D4D36" w:rsidRPr="008D4D36" w:rsidRDefault="008D4D36" w:rsidP="008D4D36">
            <w:pPr>
              <w:spacing w:before="200" w:after="200" w:line="240" w:lineRule="auto"/>
              <w:jc w:val="center"/>
              <w:rPr>
                <w:rFonts w:ascii="Times New Roman" w:eastAsia="Times New Roman" w:hAnsi="Times New Roman" w:cs="Times New Roman"/>
                <w:sz w:val="24"/>
                <w:szCs w:val="24"/>
              </w:rPr>
            </w:pPr>
            <w:r w:rsidRPr="008D4D36">
              <w:rPr>
                <w:rFonts w:ascii="Arial" w:eastAsia="Times New Roman" w:hAnsi="Arial" w:cs="Arial"/>
                <w:color w:val="000000"/>
                <w:sz w:val="26"/>
                <w:szCs w:val="26"/>
              </w:rPr>
              <w:t>- Cán bộ, công chức bị cách chức do tham nhũng thì không được bổ nhiệm vào vị trí lãnh đạo</w:t>
            </w:r>
          </w:p>
          <w:p w:rsidR="008D4D36" w:rsidRPr="008D4D36" w:rsidRDefault="008D4D36" w:rsidP="008D4D36">
            <w:pPr>
              <w:spacing w:after="0" w:line="240" w:lineRule="auto"/>
              <w:rPr>
                <w:rFonts w:ascii="Times New Roman" w:eastAsia="Times New Roman" w:hAnsi="Times New Roman" w:cs="Times New Roman"/>
                <w:sz w:val="24"/>
                <w:szCs w:val="24"/>
              </w:rPr>
            </w:pPr>
          </w:p>
        </w:tc>
      </w:tr>
    </w:tbl>
    <w:p w:rsidR="008D4D36" w:rsidRDefault="008D4D36"/>
    <w:sectPr w:rsidR="008D4D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36"/>
    <w:rsid w:val="001C3441"/>
    <w:rsid w:val="00231EC8"/>
    <w:rsid w:val="0027592C"/>
    <w:rsid w:val="00707D37"/>
    <w:rsid w:val="008D4D36"/>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E7B32-1214-4DCE-BEBE-79F2AA35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97764">
      <w:bodyDiv w:val="1"/>
      <w:marLeft w:val="0"/>
      <w:marRight w:val="0"/>
      <w:marTop w:val="0"/>
      <w:marBottom w:val="0"/>
      <w:divBdr>
        <w:top w:val="none" w:sz="0" w:space="0" w:color="auto"/>
        <w:left w:val="none" w:sz="0" w:space="0" w:color="auto"/>
        <w:bottom w:val="none" w:sz="0" w:space="0" w:color="auto"/>
        <w:right w:val="none" w:sz="0" w:space="0" w:color="auto"/>
      </w:divBdr>
    </w:div>
    <w:div w:id="17168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Luat-can-bo-cong-chuc-2008-22-2008-QH12-822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2023-02-16T08:32:00Z</dcterms:created>
  <dcterms:modified xsi:type="dcterms:W3CDTF">2023-02-16T08:33:00Z</dcterms:modified>
</cp:coreProperties>
</file>