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tblInd w:w="10" w:type="dxa"/>
        <w:tblLook w:val="04A0" w:firstRow="1" w:lastRow="0" w:firstColumn="1" w:lastColumn="0" w:noHBand="0" w:noVBand="1"/>
      </w:tblPr>
      <w:tblGrid>
        <w:gridCol w:w="960"/>
        <w:gridCol w:w="1020"/>
        <w:gridCol w:w="2800"/>
        <w:gridCol w:w="2800"/>
        <w:gridCol w:w="2800"/>
      </w:tblGrid>
      <w:tr w:rsidR="00AC5B0E" w:rsidRPr="00AC5B0E" w:rsidTr="00AC5B0E">
        <w:trPr>
          <w:trHeight w:val="510"/>
        </w:trPr>
        <w:tc>
          <w:tcPr>
            <w:tcW w:w="960" w:type="dxa"/>
            <w:tcBorders>
              <w:top w:val="nil"/>
              <w:left w:val="nil"/>
              <w:bottom w:val="nil"/>
              <w:right w:val="nil"/>
            </w:tcBorders>
            <w:shd w:val="clear" w:color="auto" w:fill="auto"/>
            <w:vAlign w:val="bottom"/>
            <w:hideMark/>
          </w:tcPr>
          <w:p w:rsidR="00AC5B0E" w:rsidRPr="00AC5B0E" w:rsidRDefault="00AC5B0E" w:rsidP="00AC5B0E">
            <w:pPr>
              <w:spacing w:after="0" w:line="240" w:lineRule="auto"/>
              <w:jc w:val="center"/>
              <w:rPr>
                <w:rFonts w:ascii="Arial" w:eastAsia="Times New Roman" w:hAnsi="Arial" w:cs="Arial"/>
                <w:b/>
                <w:bCs/>
                <w:sz w:val="20"/>
                <w:szCs w:val="20"/>
              </w:rPr>
            </w:pPr>
            <w:r w:rsidRPr="00AC5B0E">
              <w:rPr>
                <w:rFonts w:ascii="Arial" w:eastAsia="Times New Roman" w:hAnsi="Arial" w:cs="Arial"/>
                <w:b/>
                <w:bCs/>
                <w:sz w:val="20"/>
                <w:szCs w:val="20"/>
              </w:rPr>
              <w:t>BỘ Y TẾ</w:t>
            </w:r>
            <w:r w:rsidRPr="00AC5B0E">
              <w:rPr>
                <w:rFonts w:ascii="Arial" w:eastAsia="Times New Roman" w:hAnsi="Arial" w:cs="Arial"/>
                <w:b/>
                <w:bCs/>
                <w:sz w:val="20"/>
                <w:szCs w:val="20"/>
              </w:rPr>
              <w:br/>
              <w:t>-------</w:t>
            </w:r>
          </w:p>
        </w:tc>
        <w:tc>
          <w:tcPr>
            <w:tcW w:w="1020" w:type="dxa"/>
            <w:tcBorders>
              <w:top w:val="nil"/>
              <w:left w:val="nil"/>
              <w:bottom w:val="nil"/>
              <w:right w:val="nil"/>
            </w:tcBorders>
            <w:shd w:val="clear" w:color="auto" w:fill="auto"/>
            <w:noWrap/>
            <w:vAlign w:val="bottom"/>
            <w:hideMark/>
          </w:tcPr>
          <w:p w:rsidR="00AC5B0E" w:rsidRPr="00AC5B0E" w:rsidRDefault="00AC5B0E" w:rsidP="00AC5B0E">
            <w:pPr>
              <w:spacing w:after="0" w:line="240" w:lineRule="auto"/>
              <w:jc w:val="center"/>
              <w:rPr>
                <w:rFonts w:ascii="Arial" w:eastAsia="Times New Roman" w:hAnsi="Arial" w:cs="Arial"/>
                <w:b/>
                <w:bCs/>
                <w:sz w:val="20"/>
                <w:szCs w:val="20"/>
              </w:rPr>
            </w:pPr>
          </w:p>
        </w:tc>
        <w:tc>
          <w:tcPr>
            <w:tcW w:w="2800" w:type="dxa"/>
            <w:tcBorders>
              <w:top w:val="nil"/>
              <w:left w:val="nil"/>
              <w:bottom w:val="nil"/>
              <w:right w:val="nil"/>
            </w:tcBorders>
            <w:shd w:val="clear" w:color="auto" w:fill="auto"/>
            <w:noWrap/>
            <w:vAlign w:val="bottom"/>
            <w:hideMark/>
          </w:tcPr>
          <w:p w:rsidR="00AC5B0E" w:rsidRPr="00AC5B0E" w:rsidRDefault="00AC5B0E" w:rsidP="00AC5B0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AC5B0E" w:rsidRPr="00AC5B0E" w:rsidRDefault="00AC5B0E" w:rsidP="00AC5B0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AC5B0E" w:rsidRPr="00AC5B0E" w:rsidRDefault="00AC5B0E" w:rsidP="00AC5B0E">
            <w:pPr>
              <w:spacing w:after="0" w:line="240" w:lineRule="auto"/>
              <w:jc w:val="right"/>
              <w:rPr>
                <w:rFonts w:ascii="Arial" w:eastAsia="Times New Roman" w:hAnsi="Arial" w:cs="Arial"/>
                <w:b/>
                <w:bCs/>
                <w:sz w:val="20"/>
                <w:szCs w:val="20"/>
              </w:rPr>
            </w:pPr>
            <w:r w:rsidRPr="00AC5B0E">
              <w:rPr>
                <w:rFonts w:ascii="Arial" w:eastAsia="Times New Roman" w:hAnsi="Arial" w:cs="Arial"/>
                <w:b/>
                <w:bCs/>
                <w:sz w:val="20"/>
                <w:szCs w:val="20"/>
              </w:rPr>
              <w:t>Phụ lục IV</w:t>
            </w:r>
          </w:p>
        </w:tc>
      </w:tr>
      <w:tr w:rsidR="00AC5B0E" w:rsidRPr="00AC5B0E" w:rsidTr="00AC5B0E">
        <w:trPr>
          <w:trHeight w:val="255"/>
        </w:trPr>
        <w:tc>
          <w:tcPr>
            <w:tcW w:w="10380" w:type="dxa"/>
            <w:gridSpan w:val="5"/>
            <w:tcBorders>
              <w:top w:val="nil"/>
              <w:left w:val="nil"/>
              <w:bottom w:val="nil"/>
              <w:right w:val="nil"/>
            </w:tcBorders>
            <w:shd w:val="clear" w:color="auto" w:fill="auto"/>
            <w:noWrap/>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BỔ SUNG GHI CHÚ CỦA MỘT SỐ DỊCH VỤ KỸ THUẬT Y TẾ</w:t>
            </w:r>
          </w:p>
        </w:tc>
      </w:tr>
      <w:tr w:rsidR="00AC5B0E" w:rsidRPr="00AC5B0E" w:rsidTr="00AC5B0E">
        <w:trPr>
          <w:trHeight w:val="255"/>
        </w:trPr>
        <w:tc>
          <w:tcPr>
            <w:tcW w:w="10380" w:type="dxa"/>
            <w:gridSpan w:val="5"/>
            <w:tcBorders>
              <w:top w:val="nil"/>
              <w:left w:val="nil"/>
              <w:bottom w:val="nil"/>
              <w:right w:val="nil"/>
            </w:tcBorders>
            <w:shd w:val="clear" w:color="auto" w:fill="auto"/>
            <w:noWrap/>
            <w:vAlign w:val="center"/>
            <w:hideMark/>
          </w:tcPr>
          <w:p w:rsidR="00AC5B0E" w:rsidRPr="00AC5B0E" w:rsidRDefault="00AC5B0E" w:rsidP="00AC5B0E">
            <w:pPr>
              <w:spacing w:after="0" w:line="240" w:lineRule="auto"/>
              <w:jc w:val="center"/>
              <w:rPr>
                <w:rFonts w:ascii="Arial" w:eastAsia="Times New Roman" w:hAnsi="Arial" w:cs="Arial"/>
                <w:i/>
                <w:iCs/>
                <w:color w:val="000000"/>
                <w:sz w:val="20"/>
                <w:szCs w:val="20"/>
              </w:rPr>
            </w:pPr>
            <w:r w:rsidRPr="00AC5B0E">
              <w:rPr>
                <w:rFonts w:ascii="Arial" w:eastAsia="Times New Roman" w:hAnsi="Arial" w:cs="Arial"/>
                <w:i/>
                <w:iCs/>
                <w:color w:val="000000"/>
                <w:sz w:val="20"/>
                <w:szCs w:val="20"/>
              </w:rPr>
              <w:t>(Ban hành kèm theo Thông tư 22/2023/TT-BYT ngày 17/11/2023 của Bộ Y tế)</w:t>
            </w:r>
          </w:p>
        </w:tc>
      </w:tr>
      <w:tr w:rsidR="00AC5B0E" w:rsidRPr="00AC5B0E" w:rsidTr="00AC5B0E">
        <w:trPr>
          <w:trHeight w:val="270"/>
        </w:trPr>
        <w:tc>
          <w:tcPr>
            <w:tcW w:w="960" w:type="dxa"/>
            <w:tcBorders>
              <w:top w:val="nil"/>
              <w:left w:val="nil"/>
              <w:bottom w:val="nil"/>
              <w:right w:val="nil"/>
            </w:tcBorders>
            <w:shd w:val="clear" w:color="auto" w:fill="auto"/>
            <w:noWrap/>
            <w:vAlign w:val="center"/>
            <w:hideMark/>
          </w:tcPr>
          <w:p w:rsidR="00AC5B0E" w:rsidRPr="00AC5B0E" w:rsidRDefault="00AC5B0E" w:rsidP="00AC5B0E">
            <w:pPr>
              <w:spacing w:after="0" w:line="240" w:lineRule="auto"/>
              <w:jc w:val="center"/>
              <w:rPr>
                <w:rFonts w:ascii="Arial" w:eastAsia="Times New Roman" w:hAnsi="Arial" w:cs="Arial"/>
                <w:i/>
                <w:iCs/>
                <w:color w:val="000000"/>
                <w:sz w:val="20"/>
                <w:szCs w:val="20"/>
              </w:rPr>
            </w:pPr>
          </w:p>
        </w:tc>
        <w:tc>
          <w:tcPr>
            <w:tcW w:w="1020" w:type="dxa"/>
            <w:tcBorders>
              <w:top w:val="nil"/>
              <w:left w:val="nil"/>
              <w:bottom w:val="nil"/>
              <w:right w:val="nil"/>
            </w:tcBorders>
            <w:shd w:val="clear" w:color="auto" w:fill="auto"/>
            <w:noWrap/>
            <w:vAlign w:val="center"/>
            <w:hideMark/>
          </w:tcPr>
          <w:p w:rsidR="00AC5B0E" w:rsidRPr="00AC5B0E" w:rsidRDefault="00AC5B0E" w:rsidP="00AC5B0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
          <w:p w:rsidR="00AC5B0E" w:rsidRPr="00AC5B0E" w:rsidRDefault="00AC5B0E" w:rsidP="00AC5B0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
          <w:p w:rsidR="00AC5B0E" w:rsidRPr="00AC5B0E" w:rsidRDefault="00AC5B0E" w:rsidP="00AC5B0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
          <w:p w:rsidR="00AC5B0E" w:rsidRPr="00AC5B0E" w:rsidRDefault="00AC5B0E" w:rsidP="00AC5B0E">
            <w:pPr>
              <w:spacing w:after="0" w:line="240" w:lineRule="auto"/>
              <w:jc w:val="right"/>
              <w:rPr>
                <w:rFonts w:ascii="Arial" w:eastAsia="Times New Roman" w:hAnsi="Arial" w:cs="Arial"/>
                <w:i/>
                <w:iCs/>
                <w:color w:val="000000"/>
                <w:sz w:val="20"/>
                <w:szCs w:val="20"/>
              </w:rPr>
            </w:pPr>
            <w:r w:rsidRPr="00AC5B0E">
              <w:rPr>
                <w:rFonts w:ascii="Arial" w:eastAsia="Times New Roman" w:hAnsi="Arial" w:cs="Arial"/>
                <w:i/>
                <w:iCs/>
                <w:color w:val="000000"/>
                <w:sz w:val="20"/>
                <w:szCs w:val="20"/>
              </w:rPr>
              <w:t>Đơn vị: đồng</w:t>
            </w:r>
          </w:p>
        </w:tc>
      </w:tr>
      <w:tr w:rsidR="00AC5B0E" w:rsidRPr="00AC5B0E" w:rsidTr="00AC5B0E">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STT</w:t>
            </w:r>
          </w:p>
        </w:tc>
        <w:tc>
          <w:tcPr>
            <w:tcW w:w="1020" w:type="dxa"/>
            <w:tcBorders>
              <w:top w:val="single" w:sz="8" w:space="0" w:color="auto"/>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Mã theo TT50 (*)</w:t>
            </w:r>
          </w:p>
        </w:tc>
        <w:tc>
          <w:tcPr>
            <w:tcW w:w="2800" w:type="dxa"/>
            <w:tcBorders>
              <w:top w:val="single" w:sz="8" w:space="0" w:color="auto"/>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Tên theo Thông tư 50/2014/TT-BYT</w:t>
            </w:r>
          </w:p>
        </w:tc>
        <w:tc>
          <w:tcPr>
            <w:tcW w:w="2800" w:type="dxa"/>
            <w:tcBorders>
              <w:top w:val="single" w:sz="8" w:space="0" w:color="auto"/>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Tên danh mục tại Phụ lục 3 Thông tư này</w:t>
            </w:r>
          </w:p>
        </w:tc>
        <w:tc>
          <w:tcPr>
            <w:tcW w:w="2800" w:type="dxa"/>
            <w:tcBorders>
              <w:top w:val="single" w:sz="8" w:space="0" w:color="auto"/>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b/>
                <w:bCs/>
                <w:color w:val="000000"/>
                <w:sz w:val="20"/>
                <w:szCs w:val="20"/>
              </w:rPr>
            </w:pPr>
            <w:r w:rsidRPr="00AC5B0E">
              <w:rPr>
                <w:rFonts w:ascii="Arial" w:eastAsia="Times New Roman" w:hAnsi="Arial" w:cs="Arial"/>
                <w:b/>
                <w:bCs/>
                <w:color w:val="000000"/>
                <w:sz w:val="20"/>
                <w:szCs w:val="20"/>
              </w:rPr>
              <w:t>Ghi chú</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1.209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Dẫn lưu não thất cấp cứu ≤ 8 giờ</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catheter tĩnh mạch trung tâm một nòng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dẫn lưu não thất và đo áp lực nội sọ. Thanh toán theo số lần thực hiện kỹ thuật đặt dẫn lưu, không thanh toán theo giờ.</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1.231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ống thông Blakemore vào thực quản cầm máu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Thủ thuật loại I (HSCC - CĐ)</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ống thông Blakemore</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2.127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Triệt đốt thần kinh giao cảm động mạch thận bằng năng lượng sóng tần số radio qua đường ống thông trong điều trị tăng huyết áp kháng trị</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Chụp và can thiệp tim mạch (van tim, tim bẩm sinh, động mạch vành) dưới DSA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catheter đốt và cáp nối</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2.219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bơm rửa bàng quang, bơm hóa chất</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bàng quang không sinh thiết</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hóa chất</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2.461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Điều trị rối loạn nhịp tim bằng sóng cao tần thông thường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Điều trị suy tĩnh mạch bằng Laser nội mạch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dụng cụ điều trị rối loạn nhịp tim bằng RF.</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10.51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u rễ thần kinh ngoài màng tủy kèm tái tạo đốt sống, bằng đường vào phía sau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não hoặc tủy sống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xương nhân tạo hoặc sản phẩm sinh học thay thế xương, đốt sống nhân tạo.</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10.53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u trong và ngoài ống sống, kèm tái tạo đốt sống, bằng đường vào trước hoặc trước-ngoài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não hoặc tủy sống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xương nhân tạo hoặc sản phẩm sinh học thay thế xương, đốt sống nhân tạo.</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10.167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điều trị vết thương - chấn thương mạch máu chi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204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10.175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Hybrid trong cấp cứu mạch máu (phẫu thuật mạch + can thiệp mạch)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đặc biệt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10.249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bắc cầu điều trị thiếu máu mạn tính chi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10.250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điều trị tắc động mạch chi cấp tính do huyết khối, mảnh sùi, dị vật</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10.251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điều trị tắc động mạch chi bán cấp tính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10.258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bắc cầu động mạch nách - động mạch đùi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204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14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10.270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Hybrid điều trị bệnh mạch máu (phẫu thuật mạch + can thiệp mạch)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đặc biệt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10.312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Chọc hút và bơm thuốc vào nang thận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Chọc hút hạch hoặc u hoặc áp xe hoặc các tổn thương khác dưới hướng dẫn của siêu âm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thuốc cản quang.</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10.312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Chọc hút và bơm thuốc vào nang thận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Chọc hút hạch hoặc u hoặc áp xe hoặc các tổn thương khác dưới hướng dẫn của cắt lớp vi tính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thuốc cản quang.</w:t>
            </w:r>
          </w:p>
        </w:tc>
      </w:tr>
      <w:tr w:rsidR="00AC5B0E" w:rsidRPr="00AC5B0E" w:rsidTr="00AC5B0E">
        <w:trPr>
          <w:trHeight w:val="25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10.313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Dẫn lưu đài bể thận qua da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sonde JJ niệu quản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sonde.</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10.318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Dẫn lưu thận qua da dưới hướng dẫn của siêu âm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sonde JJ niệu quản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sonde.</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10.383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ống Stent chữa bí đái do phì đại tiền liệt tuyến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đặt Sonde JJ</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stent.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10.603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Lấy huyết khối tĩnh mạch cửa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khâu lỗ thủng tiêu hóa hoặc lấy dị vật ống tiêu hóa hoặc đẩy bả thức ăn xuống đại tràng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10.604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Các loại phẫu thuật phân lưu cửa chủ</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khâu lỗ thủng tiêu hóa hoặc lấy dị vật ống tiêu hóa hoặc đẩy bả thức ăn xuống đại tràng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đoạn mạch nhân tạo.</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10.618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Thăm dò kết hợp với tiêm cồn hoặc đốt sóng cao tần hoặc áp lạnh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thăm dò ổ bụng hoặc mở thông dạ dày hoặc mở thông hổng tràng hoặc làm hậu môn nhân tạo</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kim đốt sóng cao tần.</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10.823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và điều trị trật khớp quay trụ dưới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kim găm, nẹp vít.</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10.829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phương pháp Suave.Kapandji và điều trị viêm khớp quay trụ dưới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(Ngoại khoa)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kim găm, nẹp vít.</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15.2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cấy máy trợ thính đường xương (BAHA)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(Tai Mũi Họng)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trợ thính đường xương.</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18.580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Đốt sóng cao tần điều trị các khối u số hóa xóa nền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Điều trị các tổn thương xương, khớp, cột sống và các tạng dưới DSA (đổ xi măng cột sống, điều trị các khối u tạng và giả u xương...)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kim đốt và dây dẫn tín hiệu.</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27.65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lấy nhân đệm cột sống thắt lưng qua lỗ liên hợp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kít dùng trong điều trị thoát vị đĩa đệm cột sống, mũi khoan (mài), dây bơm nước, tấm phủ, đầu đốt RF.</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27.66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bản sống giải ép trong hẹp ống sống thắt lưng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kít dùng trong điều trị thoát vị đĩa đệm cột sống, mũi khoan (mài), miếng ghép đĩa đệm, nẹp, vít.</w:t>
            </w:r>
          </w:p>
        </w:tc>
      </w:tr>
      <w:tr w:rsidR="00AC5B0E" w:rsidRPr="00AC5B0E" w:rsidTr="00AC5B0E">
        <w:trPr>
          <w:trHeight w:val="153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29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27.68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lấy đĩa đệm cột sống ngực đường trước trong vẹo cột sống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hệ thống bộ kít dùng trong điều trị thoát vị đĩa đệm cột sống, mũi khoan (mài), miếng ghép đĩa đệm, nẹp, vít, xương nhân tạo hoặc sản phẩm thay thế xương.</w:t>
            </w:r>
          </w:p>
        </w:tc>
      </w:tr>
      <w:tr w:rsidR="00AC5B0E" w:rsidRPr="00AC5B0E" w:rsidTr="00AC5B0E">
        <w:trPr>
          <w:trHeight w:val="153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27.69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chỉnh vẹo cột sống ngực</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hệ thống bộ kít dùng trong điều trị thoát vị đĩa đệm cột sống, mũi khoan (mài), miếng ghép đĩa đệm, nẹp, vít, xương nhân tạo hoặc sản phẩm thay thế xương.</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27.70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lấy thoát vị đĩa đệm cột sống cổ đường sau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mũi khoan (mài).</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27.74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lấy đĩa đệm cột sống ngực</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mũi khoan (mài), miếng ghép đĩa đệm, nẹp</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27.82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 khâu kén khí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màng phổi, sinh thiết màng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u trung thất nhỏ (&lt; 5 cm)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màng phổi, sinh thiết màng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u trung thất lớn (&gt; 5 cm)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u trung thất</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một phần thùy phổi, kén - nang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một thùy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một thùy phổi kèm nạo vét hạch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39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một phổi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một phổi kèm nạo vét hạch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27.99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 nối phế quản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ngực bệnh lý hoặc chấn thương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máy cắt nối tự động, ghim khâu máy; hoặc Stapler.</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27.135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mở cơ thực quản nội soi ngực phải điều trị bệnh co thắt thực quản lan tỏa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đặc biệt (Phẫu thuật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dao hàn mạch, hàn mô.</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27.313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đặt tấm lưới nhân tạo đường vào hoàn toàn trước phúc mạc (TEP)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tấm lưới nhân tạo.</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44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27.314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đặt tấm lưới nhân tạo trước phúc mạc đường vào qua ổ bụng (TAPP)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tấm lưới nhân tạo.</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27.315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đặt lưới nhân tạo trong ổ bụng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tấm lưới nhân tạo.</w:t>
            </w:r>
          </w:p>
        </w:tc>
      </w:tr>
      <w:tr w:rsidR="00AC5B0E" w:rsidRPr="00AC5B0E" w:rsidTr="00AC5B0E">
        <w:trPr>
          <w:trHeight w:val="25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27.354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Tán sỏi thận qua da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sonde JJ.</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27.355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niệu quản ngược dòng bằng ống soi mềm tán sỏi thận bằng laser</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sonde JJ và rọ lấy sỏi.</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27.445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đính lại điểm bám gân nhị đầu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tái tạo dây chằng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lưỡi bào (mài), bộ dây bơm nước, đầu đốt điện, tay dao đốt điện, ốc, vít.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49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27.448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khâu chóp xoay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khớp gối hoặc khớp háng hoặc khớp vai hoặc cổ chân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lưỡi bào (mài), bộ dây bơm nước, đầu đốt điện, tay dao đốt điện, ốc, vít.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27.451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cắt hoạt mạc viêm khớp khuỷu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lưỡi bào (mài), bộ dây bơm nước, đầu đốt điện, tay dao đốt điện, ốc, vít.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27.454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điều trị viêm mỏm trên lồi cầu ngoài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loại I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lưỡi bào (mài), bộ dây bơm nước, đầu đốt điện, tay dao đốt điện, ốc, vít.</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14.49</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cố định IOL thì hai + cắt dịch kính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Cắt dịch kính đơn thuần hoặc lấy dị vật nội nhãn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thủy tinh thể nhân tạo, đầu cắt dịch kính, đầu laser, dây dẫn sáng.</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14.42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Lấy thể thủy tinh sa, lệch trong bao phối hợp cắt dịch kính có hoặc không cố định IOL</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cắt thủy tinh thể</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đầu cắt, thủy tinh thể nhân tạo.</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14.43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Cắt thể thủy tinh, dịch kính có hoặc không cố định IOL</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cắt thủy tinh thể</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đầu cắt, thủy tinh thể nhân tạo.</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01.0023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Thăm dò huyết động theo phương pháp PiCCO</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catheter động mạch quay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theo dõi cung liên tục tim PiCCO (catheter động mạch đùi có đầu nhận cảm biến)</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01.0247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Hạ thân nhiệt chỉ huy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Lọc máu liên tục (01 lần)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bẫy khí và hệ thống kết nối (bộ dây truyền dịch ICY hoặc chăn hạ nhiệt)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01.0322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Khai thông động mạch vành bằng sử dụng thuốc tiêu sợi huyết trong điều trị nhồi máu cơ tim cấp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catheter động mạch quay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thuốc tiêu sợi huyết</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01.0346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Khai thông mạch não bằng điều trị thuốc tiêu sợi huyết trong nhồi máu não cấp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catheter động mạch quay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thuốc tiêu sợi huyết</w:t>
            </w:r>
          </w:p>
        </w:tc>
      </w:tr>
      <w:tr w:rsidR="00AC5B0E" w:rsidRPr="00AC5B0E" w:rsidTr="00AC5B0E">
        <w:trPr>
          <w:trHeight w:val="102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59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01.0386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Khai thông động mạch phổi bằng sử dụng thuốc tiêu sợi huyết trong điều trị tắc mạch phổi cấp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catheter động mạch quay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thuốc tiêu sợi huyết</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01.0191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Lọc máu hấp phụ bằng quả lọc resin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Thận nhân tạo cấp cứu</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 xml:space="preserve">Chưa bao gồm quả lọc hấp phụ và dây dẫn </w:t>
            </w:r>
          </w:p>
        </w:tc>
      </w:tr>
      <w:tr w:rsidR="00AC5B0E" w:rsidRPr="00AC5B0E" w:rsidTr="00AC5B0E">
        <w:trPr>
          <w:trHeight w:val="229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61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27101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sửa van hai lá</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tim các loại (tim bẩm sinh hoặc sửa van tim hoặc thay van tim...)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AC5B0E" w:rsidRPr="00AC5B0E" w:rsidTr="00AC5B0E">
        <w:trPr>
          <w:trHeight w:val="229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27.102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thay van hai lá</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tim các loại (tim bẩm sinh hoặc sửa van tim hoặc thay van tim...)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AC5B0E" w:rsidRPr="00AC5B0E" w:rsidTr="00AC5B0E">
        <w:trPr>
          <w:trHeight w:val="229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27.103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nội soi đóng lỗ thông liên nhĩ</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tim các loại (tim bẩm sinh hoặc sửa van tim hoặc thay van tim...)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2.266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can thiệp - Nong thực quản bằng bóng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Nong thực quản qua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bóng nong thực quản</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2.321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Siêu âm can thiệp - Đặt dẫn lưu đường mật, đặt stent đường mật qua da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stent đường mật hoặc tụy dưới hướng dẫn của siêu âm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stent, dao cắt, catheter, guidewire, bộ dẫn lưu đường mật</w:t>
            </w:r>
          </w:p>
        </w:tc>
      </w:tr>
      <w:tr w:rsidR="00AC5B0E" w:rsidRPr="00AC5B0E" w:rsidTr="00AC5B0E">
        <w:trPr>
          <w:trHeight w:val="51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2277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can thiệp - mở thông dạ dày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Mở thông dạ dày qua nội soi</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mở thông dạ dày qua da</w:t>
            </w:r>
          </w:p>
        </w:tc>
      </w:tr>
      <w:tr w:rsidR="00AC5B0E" w:rsidRPr="00AC5B0E" w:rsidTr="00AC5B0E">
        <w:trPr>
          <w:trHeight w:val="178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1128</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Thông khí nhân tạo không xâm nhập</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Thở máy</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dây máy thở cao tần các loại, các cỡ. Trường hợp sử dụng bộ dây máy thở cao tần thì trừ đi 34.000 đồng chi phí bộ dây máy thở và 5.360 đồng bộ làm ẩm oxy).</w:t>
            </w:r>
          </w:p>
        </w:tc>
      </w:tr>
      <w:tr w:rsidR="00AC5B0E" w:rsidRPr="00AC5B0E" w:rsidTr="00AC5B0E">
        <w:trPr>
          <w:trHeight w:val="153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1.0067</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nội khí quản 2 nòng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nội khí quản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ống nội khí quản 2 nòng. Trường hợp sử dụng ống nội khí quản 2 nòng thì trừ 19.500 đồng chi phí ống nội khí quản thông thường.</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69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1.0070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ống nội khí quản có cửa hút trên bóng chèn (Hi-low EVAC)</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Đặt nội khí quản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ống Hi_low EVAC. Trường hợp sử dụng ống Hi_low EVAC thì trừ 19.500 đồng chi phí ống nội khí quản thông thường.</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70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trên người bệnh đái tháo đường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thương hoặc mổ chiều dài ≤ 15cm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 xml:space="preserve">Thav băng trên người bệnh đái tháo đường </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mổ chiều dài trên 15cm đến 30 cm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72</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trên người bệnh đái tháo đường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thương hoặc mổ chiều dài từ trên 30 cm đến 50 cm</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73</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trên người bệnh đái tháo đường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thương hoặc mổ chiều dài từ trên 15 cm đến 30 cm nhiễm trùng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74</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7.0204</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trên người bệnh đái tháo đường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thương hoặc mổ chiều dài từ 30 cm đến 50 cm nhiễm trùng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127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75</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7.0205</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trên người bệnh đái tháo đường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Thay băng vết thương hoặc mổ chiều dài &gt; 50cm nhiễm trùng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gạc hydrocolloid; gạc xốp, miếng xốp (foam); gạc, gạc lưới có tẩm kháng sinh hoặc chất sát khuẩn.</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76</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10140</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thay bộ phát kích thích điện cực thần kinh, đặt dưới da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Cấy hoặc đặt máy tạo nhịp hoặc cấy máy tạo nhịp phá rung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phát kích thích điện cực thần kinh và các phụ kiện kèm theo</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77</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10141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đặt dưới da bộ phát kích thích điện cực thần kinh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Cấy hoặc đặt máy tạo nhịp hoặc cấy máy tạo nhịp phá rung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phát kích thích điện cực thần kinh và các phụ kiện kèm theo</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78</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10142</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đặt bộ phát kích thích điện cực tủy sống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Cấy hoặc đặt máy tạo nhịp hoặc cấy máy tạo nhịp phá rung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phát kích thích tủy sống và các phụ kiện kèm theo</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79</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10143</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lấy bỏ bộ phát kích thích điện cực thần kinh</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Cấy hoặc đặt máy tạo nhịp hoặc cấy máy tạo nhịp phá rung</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bộ phát kích thích điện cực thần kinh và các phụ kiện kèm theo</w:t>
            </w:r>
          </w:p>
        </w:tc>
      </w:tr>
      <w:tr w:rsidR="00AC5B0E" w:rsidRPr="00AC5B0E" w:rsidTr="00AC5B0E">
        <w:trPr>
          <w:trHeight w:val="765"/>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80</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10126</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đặt điện cực sâu điều trị bệnh Parkinson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Phẫu thuật vi phẫu u não đường giữa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hệ thống điện cực kích thích não sâu và các phụ kiện kèm theo</w:t>
            </w:r>
          </w:p>
        </w:tc>
      </w:tr>
      <w:tr w:rsidR="00AC5B0E" w:rsidRPr="00AC5B0E" w:rsidTr="00AC5B0E">
        <w:trPr>
          <w:trHeight w:val="2550"/>
        </w:trPr>
        <w:tc>
          <w:tcPr>
            <w:tcW w:w="960" w:type="dxa"/>
            <w:tcBorders>
              <w:top w:val="nil"/>
              <w:left w:val="single" w:sz="8" w:space="0" w:color="auto"/>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81</w:t>
            </w:r>
          </w:p>
        </w:tc>
        <w:tc>
          <w:tcPr>
            <w:tcW w:w="102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18.0521</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Chụp và nong cầu nối mạch chi (trên, dưới) số hóa xóa nền</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Chụp mạch máu số hóa xóa nền (DSA)</w:t>
            </w:r>
          </w:p>
        </w:tc>
        <w:tc>
          <w:tcPr>
            <w:tcW w:w="2800" w:type="dxa"/>
            <w:tcBorders>
              <w:top w:val="nil"/>
              <w:left w:val="nil"/>
              <w:bottom w:val="single" w:sz="4"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bóng nong, bộ bơm áp lực, stent, keo nút mạch, các vật liệu nút mạch, các vi ống thông, vi dây dẫn, các vòng xoắn kim loại, Dụng cụ đóng lòng mạch (angioseal; perclose...), Dụng cụ lấy dị vật (multi-snare) trong tim mạch, bộ dụng cụ lấy huyết khối.</w:t>
            </w:r>
          </w:p>
        </w:tc>
      </w:tr>
      <w:tr w:rsidR="00AC5B0E" w:rsidRPr="00AC5B0E" w:rsidTr="00AC5B0E">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lastRenderedPageBreak/>
              <w:t>82</w:t>
            </w:r>
          </w:p>
        </w:tc>
        <w:tc>
          <w:tcPr>
            <w:tcW w:w="1020" w:type="dxa"/>
            <w:tcBorders>
              <w:top w:val="nil"/>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jc w:val="center"/>
              <w:rPr>
                <w:rFonts w:ascii="Arial" w:eastAsia="Times New Roman" w:hAnsi="Arial" w:cs="Arial"/>
                <w:color w:val="000000"/>
                <w:sz w:val="20"/>
                <w:szCs w:val="20"/>
              </w:rPr>
            </w:pPr>
            <w:r w:rsidRPr="00AC5B0E">
              <w:rPr>
                <w:rFonts w:ascii="Arial" w:eastAsia="Times New Roman" w:hAnsi="Arial" w:cs="Arial"/>
                <w:color w:val="000000"/>
                <w:sz w:val="20"/>
                <w:szCs w:val="20"/>
              </w:rPr>
              <w:t>2.0027</w:t>
            </w:r>
          </w:p>
        </w:tc>
        <w:tc>
          <w:tcPr>
            <w:tcW w:w="2800" w:type="dxa"/>
            <w:tcBorders>
              <w:top w:val="nil"/>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Kỹ thuật đặt van một chiều nội phế quản</w:t>
            </w:r>
          </w:p>
        </w:tc>
        <w:tc>
          <w:tcPr>
            <w:tcW w:w="2800" w:type="dxa"/>
            <w:tcBorders>
              <w:top w:val="nil"/>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Nội soi phế quản dưới gây mê lấy dị vật phế quản</w:t>
            </w:r>
          </w:p>
        </w:tc>
        <w:tc>
          <w:tcPr>
            <w:tcW w:w="2800" w:type="dxa"/>
            <w:tcBorders>
              <w:top w:val="nil"/>
              <w:left w:val="nil"/>
              <w:bottom w:val="single" w:sz="8" w:space="0" w:color="auto"/>
              <w:right w:val="single" w:sz="8" w:space="0" w:color="auto"/>
            </w:tcBorders>
            <w:shd w:val="clear" w:color="000000" w:fill="FFFFFF"/>
            <w:vAlign w:val="center"/>
            <w:hideMark/>
          </w:tcPr>
          <w:p w:rsidR="00AC5B0E" w:rsidRPr="00AC5B0E" w:rsidRDefault="00AC5B0E" w:rsidP="00AC5B0E">
            <w:pPr>
              <w:spacing w:after="0" w:line="240" w:lineRule="auto"/>
              <w:rPr>
                <w:rFonts w:ascii="Arial" w:eastAsia="Times New Roman" w:hAnsi="Arial" w:cs="Arial"/>
                <w:color w:val="000000"/>
                <w:sz w:val="20"/>
                <w:szCs w:val="20"/>
              </w:rPr>
            </w:pPr>
            <w:r w:rsidRPr="00AC5B0E">
              <w:rPr>
                <w:rFonts w:ascii="Arial" w:eastAsia="Times New Roman" w:hAnsi="Arial" w:cs="Arial"/>
                <w:color w:val="000000"/>
                <w:sz w:val="20"/>
                <w:szCs w:val="20"/>
              </w:rPr>
              <w:t>Chưa bao gồm van dẫn lưu nhân tạo các loại, các cỡ</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E"/>
    <w:rsid w:val="001C3441"/>
    <w:rsid w:val="00231EC8"/>
    <w:rsid w:val="0027592C"/>
    <w:rsid w:val="00707D37"/>
    <w:rsid w:val="00AC5B0E"/>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E26F-D792-4F92-9068-8AF7C429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13406</Characters>
  <Application>Microsoft Office Word</Application>
  <DocSecurity>0</DocSecurity>
  <Lines>111</Lines>
  <Paragraphs>31</Paragraphs>
  <ScaleCrop>false</ScaleCrop>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2023-11-23T03:14:00Z</dcterms:created>
  <dcterms:modified xsi:type="dcterms:W3CDTF">2023-11-23T03:14:00Z</dcterms:modified>
</cp:coreProperties>
</file>