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B03" w:rsidRPr="000A4B03" w:rsidRDefault="000A4B03" w:rsidP="000A4B03">
      <w:pPr>
        <w:shd w:val="clear" w:color="auto" w:fill="FFFFFF"/>
        <w:spacing w:before="120" w:after="120" w:line="234" w:lineRule="atLeast"/>
        <w:jc w:val="center"/>
        <w:rPr>
          <w:rFonts w:ascii="Times New Roman" w:eastAsia="Times New Roman" w:hAnsi="Times New Roman" w:cs="Times New Roman"/>
          <w:color w:val="000000"/>
          <w:sz w:val="26"/>
          <w:szCs w:val="26"/>
        </w:rPr>
      </w:pPr>
      <w:bookmarkStart w:id="0" w:name="_GoBack"/>
      <w:r w:rsidRPr="000A4B03">
        <w:rPr>
          <w:rFonts w:ascii="Times New Roman" w:eastAsia="Times New Roman" w:hAnsi="Times New Roman" w:cs="Times New Roman"/>
          <w:b/>
          <w:bCs/>
          <w:color w:val="000000"/>
          <w:sz w:val="26"/>
          <w:szCs w:val="26"/>
        </w:rPr>
        <w:t>PHỤ LỤC 01</w:t>
      </w:r>
    </w:p>
    <w:p w:rsidR="000A4B03" w:rsidRPr="000A4B03" w:rsidRDefault="000A4B03" w:rsidP="000A4B03">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PHÂN LOẠI GIAO DỊCH</w:t>
      </w:r>
      <w:r w:rsidRPr="000A4B03">
        <w:rPr>
          <w:rFonts w:ascii="Times New Roman" w:eastAsia="Times New Roman" w:hAnsi="Times New Roman" w:cs="Times New Roman"/>
          <w:color w:val="000000"/>
          <w:sz w:val="26"/>
          <w:szCs w:val="26"/>
        </w:rPr>
        <w:br/>
      </w:r>
      <w:r w:rsidRPr="000A4B03">
        <w:rPr>
          <w:rFonts w:ascii="Times New Roman" w:eastAsia="Times New Roman" w:hAnsi="Times New Roman" w:cs="Times New Roman"/>
          <w:i/>
          <w:iCs/>
          <w:color w:val="000000"/>
          <w:sz w:val="26"/>
          <w:szCs w:val="26"/>
        </w:rPr>
        <w:t>(kèm theo Quyết định số 2345/QĐ-NHNN ngày 18 tháng 12 năm 2023 của Thống đốc Ngân hàng Nhà nước)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2"/>
        <w:gridCol w:w="1780"/>
        <w:gridCol w:w="1590"/>
        <w:gridCol w:w="1590"/>
        <w:gridCol w:w="1781"/>
        <w:gridCol w:w="1781"/>
      </w:tblGrid>
      <w:tr w:rsidR="000A4B03" w:rsidRPr="000A4B03" w:rsidTr="000A4B03">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A4B03" w:rsidRPr="000A4B03" w:rsidRDefault="000A4B03" w:rsidP="000A4B03">
            <w:pPr>
              <w:spacing w:before="120" w:after="120" w:line="234" w:lineRule="atLeast"/>
              <w:jc w:val="center"/>
              <w:rPr>
                <w:rFonts w:ascii="Times New Roman" w:eastAsia="Times New Roman" w:hAnsi="Times New Roman" w:cs="Times New Roman"/>
                <w:color w:val="000000"/>
                <w:sz w:val="26"/>
                <w:szCs w:val="26"/>
              </w:rPr>
            </w:pPr>
            <w:r w:rsidRPr="000A4B03">
              <w:rPr>
                <w:rFonts w:ascii="Times New Roman" w:eastAsia="Times New Roman" w:hAnsi="Times New Roman" w:cs="Times New Roman"/>
                <w:b/>
                <w:bCs/>
                <w:color w:val="000000"/>
                <w:sz w:val="26"/>
                <w:szCs w:val="26"/>
              </w:rPr>
              <w:t>STT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0A4B03" w:rsidRPr="000A4B03" w:rsidRDefault="000A4B03" w:rsidP="000A4B03">
            <w:pPr>
              <w:spacing w:before="120" w:after="120" w:line="234" w:lineRule="atLeast"/>
              <w:jc w:val="center"/>
              <w:rPr>
                <w:rFonts w:ascii="Times New Roman" w:eastAsia="Times New Roman" w:hAnsi="Times New Roman" w:cs="Times New Roman"/>
                <w:color w:val="000000"/>
                <w:sz w:val="26"/>
                <w:szCs w:val="26"/>
              </w:rPr>
            </w:pPr>
            <w:r w:rsidRPr="000A4B03">
              <w:rPr>
                <w:rFonts w:ascii="Times New Roman" w:eastAsia="Times New Roman" w:hAnsi="Times New Roman" w:cs="Times New Roman"/>
                <w:b/>
                <w:bCs/>
                <w:color w:val="000000"/>
                <w:sz w:val="26"/>
                <w:szCs w:val="26"/>
              </w:rPr>
              <w:t>Loại hình giao dịch</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0A4B03" w:rsidRPr="000A4B03" w:rsidRDefault="000A4B03" w:rsidP="000A4B03">
            <w:pPr>
              <w:spacing w:before="120" w:after="120" w:line="234" w:lineRule="atLeast"/>
              <w:jc w:val="center"/>
              <w:rPr>
                <w:rFonts w:ascii="Times New Roman" w:eastAsia="Times New Roman" w:hAnsi="Times New Roman" w:cs="Times New Roman"/>
                <w:color w:val="000000"/>
                <w:sz w:val="26"/>
                <w:szCs w:val="26"/>
              </w:rPr>
            </w:pPr>
            <w:r w:rsidRPr="000A4B03">
              <w:rPr>
                <w:rFonts w:ascii="Times New Roman" w:eastAsia="Times New Roman" w:hAnsi="Times New Roman" w:cs="Times New Roman"/>
                <w:b/>
                <w:bCs/>
                <w:color w:val="000000"/>
                <w:sz w:val="26"/>
                <w:szCs w:val="26"/>
              </w:rPr>
              <w:t>Giao dịch loại A</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0A4B03" w:rsidRPr="000A4B03" w:rsidRDefault="000A4B03" w:rsidP="000A4B03">
            <w:pPr>
              <w:spacing w:before="120" w:after="120" w:line="234" w:lineRule="atLeast"/>
              <w:jc w:val="center"/>
              <w:rPr>
                <w:rFonts w:ascii="Times New Roman" w:eastAsia="Times New Roman" w:hAnsi="Times New Roman" w:cs="Times New Roman"/>
                <w:color w:val="000000"/>
                <w:sz w:val="26"/>
                <w:szCs w:val="26"/>
              </w:rPr>
            </w:pPr>
            <w:r w:rsidRPr="000A4B03">
              <w:rPr>
                <w:rFonts w:ascii="Times New Roman" w:eastAsia="Times New Roman" w:hAnsi="Times New Roman" w:cs="Times New Roman"/>
                <w:b/>
                <w:bCs/>
                <w:color w:val="000000"/>
                <w:sz w:val="26"/>
                <w:szCs w:val="26"/>
              </w:rPr>
              <w:t>Giao dịch loại B</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0A4B03" w:rsidRPr="000A4B03" w:rsidRDefault="000A4B03" w:rsidP="000A4B03">
            <w:pPr>
              <w:spacing w:before="120" w:after="120" w:line="234" w:lineRule="atLeast"/>
              <w:jc w:val="center"/>
              <w:rPr>
                <w:rFonts w:ascii="Times New Roman" w:eastAsia="Times New Roman" w:hAnsi="Times New Roman" w:cs="Times New Roman"/>
                <w:color w:val="000000"/>
                <w:sz w:val="26"/>
                <w:szCs w:val="26"/>
              </w:rPr>
            </w:pPr>
            <w:r w:rsidRPr="000A4B03">
              <w:rPr>
                <w:rFonts w:ascii="Times New Roman" w:eastAsia="Times New Roman" w:hAnsi="Times New Roman" w:cs="Times New Roman"/>
                <w:b/>
                <w:bCs/>
                <w:color w:val="000000"/>
                <w:sz w:val="26"/>
                <w:szCs w:val="26"/>
              </w:rPr>
              <w:t>Giao dịch loại C</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0A4B03" w:rsidRPr="000A4B03" w:rsidRDefault="000A4B03" w:rsidP="000A4B03">
            <w:pPr>
              <w:spacing w:before="120" w:after="120" w:line="234" w:lineRule="atLeast"/>
              <w:jc w:val="center"/>
              <w:rPr>
                <w:rFonts w:ascii="Times New Roman" w:eastAsia="Times New Roman" w:hAnsi="Times New Roman" w:cs="Times New Roman"/>
                <w:color w:val="000000"/>
                <w:sz w:val="26"/>
                <w:szCs w:val="26"/>
              </w:rPr>
            </w:pPr>
            <w:r w:rsidRPr="000A4B03">
              <w:rPr>
                <w:rFonts w:ascii="Times New Roman" w:eastAsia="Times New Roman" w:hAnsi="Times New Roman" w:cs="Times New Roman"/>
                <w:b/>
                <w:bCs/>
                <w:color w:val="000000"/>
                <w:sz w:val="26"/>
                <w:szCs w:val="26"/>
              </w:rPr>
              <w:t>Giao dịch loại D</w:t>
            </w:r>
          </w:p>
        </w:tc>
      </w:tr>
      <w:tr w:rsidR="000A4B03" w:rsidRPr="000A4B03" w:rsidTr="000A4B03">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0A4B03" w:rsidRPr="000A4B03" w:rsidRDefault="000A4B03" w:rsidP="000A4B03">
            <w:pPr>
              <w:spacing w:before="120" w:after="120" w:line="234" w:lineRule="atLeast"/>
              <w:jc w:val="center"/>
              <w:rPr>
                <w:rFonts w:ascii="Times New Roman" w:eastAsia="Times New Roman" w:hAnsi="Times New Roman" w:cs="Times New Roman"/>
                <w:color w:val="000000"/>
                <w:sz w:val="26"/>
                <w:szCs w:val="26"/>
              </w:rPr>
            </w:pPr>
            <w:r w:rsidRPr="000A4B03">
              <w:rPr>
                <w:rFonts w:ascii="Times New Roman" w:eastAsia="Times New Roman" w:hAnsi="Times New Roman" w:cs="Times New Roman"/>
                <w:b/>
                <w:bCs/>
                <w:color w:val="000000"/>
                <w:sz w:val="26"/>
                <w:szCs w:val="26"/>
              </w:rPr>
              <w:t>I</w:t>
            </w:r>
          </w:p>
        </w:tc>
        <w:tc>
          <w:tcPr>
            <w:tcW w:w="950" w:type="pct"/>
            <w:tcBorders>
              <w:top w:val="nil"/>
              <w:left w:val="nil"/>
              <w:bottom w:val="single" w:sz="8" w:space="0" w:color="auto"/>
              <w:right w:val="single" w:sz="8" w:space="0" w:color="auto"/>
            </w:tcBorders>
            <w:shd w:val="clear" w:color="auto" w:fill="FFFFFF"/>
            <w:hideMark/>
          </w:tcPr>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b/>
                <w:bCs/>
                <w:color w:val="000000"/>
                <w:sz w:val="26"/>
                <w:szCs w:val="26"/>
              </w:rPr>
              <w:t>Khách hàng cá nhân</w:t>
            </w:r>
          </w:p>
        </w:tc>
        <w:tc>
          <w:tcPr>
            <w:tcW w:w="850" w:type="pct"/>
            <w:tcBorders>
              <w:top w:val="nil"/>
              <w:left w:val="nil"/>
              <w:bottom w:val="single" w:sz="8" w:space="0" w:color="auto"/>
              <w:right w:val="single" w:sz="8" w:space="0" w:color="auto"/>
            </w:tcBorders>
            <w:shd w:val="clear" w:color="auto" w:fill="FFFFFF"/>
            <w:hideMark/>
          </w:tcPr>
          <w:p w:rsidR="000A4B03" w:rsidRPr="000A4B03" w:rsidRDefault="000A4B03" w:rsidP="000A4B03">
            <w:pPr>
              <w:spacing w:after="0" w:line="240" w:lineRule="auto"/>
              <w:rPr>
                <w:rFonts w:ascii="Times New Roman" w:eastAsia="Times New Roman" w:hAnsi="Times New Roman" w:cs="Times New Roman"/>
                <w:color w:val="000000"/>
                <w:sz w:val="26"/>
                <w:szCs w:val="26"/>
              </w:rPr>
            </w:pPr>
          </w:p>
        </w:tc>
        <w:tc>
          <w:tcPr>
            <w:tcW w:w="850" w:type="pct"/>
            <w:tcBorders>
              <w:top w:val="nil"/>
              <w:left w:val="nil"/>
              <w:bottom w:val="single" w:sz="8" w:space="0" w:color="auto"/>
              <w:right w:val="single" w:sz="8" w:space="0" w:color="auto"/>
            </w:tcBorders>
            <w:shd w:val="clear" w:color="auto" w:fill="FFFFFF"/>
            <w:hideMark/>
          </w:tcPr>
          <w:p w:rsidR="000A4B03" w:rsidRPr="000A4B03" w:rsidRDefault="000A4B03" w:rsidP="000A4B03">
            <w:pPr>
              <w:spacing w:after="0" w:line="240" w:lineRule="auto"/>
              <w:rPr>
                <w:rFonts w:ascii="Times New Roman" w:eastAsia="Times New Roman" w:hAnsi="Times New Roman" w:cs="Times New Roman"/>
                <w:sz w:val="26"/>
                <w:szCs w:val="26"/>
              </w:rPr>
            </w:pPr>
          </w:p>
        </w:tc>
        <w:tc>
          <w:tcPr>
            <w:tcW w:w="950" w:type="pct"/>
            <w:tcBorders>
              <w:top w:val="nil"/>
              <w:left w:val="nil"/>
              <w:bottom w:val="single" w:sz="8" w:space="0" w:color="auto"/>
              <w:right w:val="single" w:sz="8" w:space="0" w:color="auto"/>
            </w:tcBorders>
            <w:shd w:val="clear" w:color="auto" w:fill="FFFFFF"/>
            <w:hideMark/>
          </w:tcPr>
          <w:p w:rsidR="000A4B03" w:rsidRPr="000A4B03" w:rsidRDefault="000A4B03" w:rsidP="000A4B03">
            <w:pPr>
              <w:spacing w:after="0" w:line="240" w:lineRule="auto"/>
              <w:rPr>
                <w:rFonts w:ascii="Times New Roman" w:eastAsia="Times New Roman" w:hAnsi="Times New Roman" w:cs="Times New Roman"/>
                <w:sz w:val="26"/>
                <w:szCs w:val="26"/>
              </w:rPr>
            </w:pPr>
          </w:p>
        </w:tc>
        <w:tc>
          <w:tcPr>
            <w:tcW w:w="950" w:type="pct"/>
            <w:tcBorders>
              <w:top w:val="nil"/>
              <w:left w:val="nil"/>
              <w:bottom w:val="single" w:sz="8" w:space="0" w:color="auto"/>
              <w:right w:val="single" w:sz="8" w:space="0" w:color="auto"/>
            </w:tcBorders>
            <w:shd w:val="clear" w:color="auto" w:fill="FFFFFF"/>
            <w:hideMark/>
          </w:tcPr>
          <w:p w:rsidR="000A4B03" w:rsidRPr="000A4B03" w:rsidRDefault="000A4B03" w:rsidP="000A4B03">
            <w:pPr>
              <w:spacing w:after="0" w:line="240" w:lineRule="auto"/>
              <w:rPr>
                <w:rFonts w:ascii="Times New Roman" w:eastAsia="Times New Roman" w:hAnsi="Times New Roman" w:cs="Times New Roman"/>
                <w:sz w:val="26"/>
                <w:szCs w:val="26"/>
              </w:rPr>
            </w:pPr>
          </w:p>
        </w:tc>
      </w:tr>
      <w:tr w:rsidR="000A4B03" w:rsidRPr="000A4B03" w:rsidTr="000A4B03">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0A4B03" w:rsidRPr="000A4B03" w:rsidRDefault="000A4B03" w:rsidP="000A4B03">
            <w:pPr>
              <w:spacing w:before="120" w:after="120" w:line="234" w:lineRule="atLeast"/>
              <w:jc w:val="center"/>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1</w:t>
            </w:r>
          </w:p>
        </w:tc>
        <w:tc>
          <w:tcPr>
            <w:tcW w:w="950" w:type="pct"/>
            <w:tcBorders>
              <w:top w:val="nil"/>
              <w:left w:val="nil"/>
              <w:bottom w:val="single" w:sz="8" w:space="0" w:color="auto"/>
              <w:right w:val="single" w:sz="8" w:space="0" w:color="auto"/>
            </w:tcBorders>
            <w:shd w:val="clear" w:color="auto" w:fill="FFFFFF"/>
            <w:hideMark/>
          </w:tcPr>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Nhóm I.1:</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 Các giao dịch tra cứu thông tin.</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 Chuyển tiền trong cùng ngân hàng, cùng chủ tài khoản.</w:t>
            </w:r>
          </w:p>
        </w:tc>
        <w:tc>
          <w:tcPr>
            <w:tcW w:w="850" w:type="pct"/>
            <w:tcBorders>
              <w:top w:val="nil"/>
              <w:left w:val="nil"/>
              <w:bottom w:val="single" w:sz="8" w:space="0" w:color="auto"/>
              <w:right w:val="single" w:sz="8" w:space="0" w:color="auto"/>
            </w:tcBorders>
            <w:shd w:val="clear" w:color="auto" w:fill="FFFFFF"/>
            <w:hideMark/>
          </w:tcPr>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Tất cả các giao dịch.</w:t>
            </w:r>
          </w:p>
        </w:tc>
        <w:tc>
          <w:tcPr>
            <w:tcW w:w="850" w:type="pct"/>
            <w:tcBorders>
              <w:top w:val="nil"/>
              <w:left w:val="nil"/>
              <w:bottom w:val="single" w:sz="8" w:space="0" w:color="auto"/>
              <w:right w:val="single" w:sz="8" w:space="0" w:color="auto"/>
            </w:tcBorders>
            <w:shd w:val="clear" w:color="auto" w:fill="FFFFFF"/>
            <w:hideMark/>
          </w:tcPr>
          <w:p w:rsidR="000A4B03" w:rsidRPr="000A4B03" w:rsidRDefault="000A4B03" w:rsidP="000A4B03">
            <w:pPr>
              <w:spacing w:after="0" w:line="240" w:lineRule="auto"/>
              <w:rPr>
                <w:rFonts w:ascii="Times New Roman" w:eastAsia="Times New Roman" w:hAnsi="Times New Roman" w:cs="Times New Roman"/>
                <w:color w:val="000000"/>
                <w:sz w:val="26"/>
                <w:szCs w:val="26"/>
              </w:rPr>
            </w:pPr>
          </w:p>
        </w:tc>
        <w:tc>
          <w:tcPr>
            <w:tcW w:w="950" w:type="pct"/>
            <w:tcBorders>
              <w:top w:val="nil"/>
              <w:left w:val="nil"/>
              <w:bottom w:val="single" w:sz="8" w:space="0" w:color="auto"/>
              <w:right w:val="single" w:sz="8" w:space="0" w:color="auto"/>
            </w:tcBorders>
            <w:shd w:val="clear" w:color="auto" w:fill="FFFFFF"/>
            <w:hideMark/>
          </w:tcPr>
          <w:p w:rsidR="000A4B03" w:rsidRPr="000A4B03" w:rsidRDefault="000A4B03" w:rsidP="000A4B03">
            <w:pPr>
              <w:spacing w:after="0" w:line="240" w:lineRule="auto"/>
              <w:rPr>
                <w:rFonts w:ascii="Times New Roman" w:eastAsia="Times New Roman" w:hAnsi="Times New Roman" w:cs="Times New Roman"/>
                <w:sz w:val="26"/>
                <w:szCs w:val="26"/>
              </w:rPr>
            </w:pPr>
          </w:p>
        </w:tc>
        <w:tc>
          <w:tcPr>
            <w:tcW w:w="950" w:type="pct"/>
            <w:tcBorders>
              <w:top w:val="nil"/>
              <w:left w:val="nil"/>
              <w:bottom w:val="single" w:sz="8" w:space="0" w:color="auto"/>
              <w:right w:val="single" w:sz="8" w:space="0" w:color="auto"/>
            </w:tcBorders>
            <w:shd w:val="clear" w:color="auto" w:fill="FFFFFF"/>
            <w:hideMark/>
          </w:tcPr>
          <w:p w:rsidR="000A4B03" w:rsidRPr="000A4B03" w:rsidRDefault="000A4B03" w:rsidP="000A4B03">
            <w:pPr>
              <w:spacing w:after="0" w:line="240" w:lineRule="auto"/>
              <w:rPr>
                <w:rFonts w:ascii="Times New Roman" w:eastAsia="Times New Roman" w:hAnsi="Times New Roman" w:cs="Times New Roman"/>
                <w:sz w:val="26"/>
                <w:szCs w:val="26"/>
              </w:rPr>
            </w:pPr>
          </w:p>
        </w:tc>
      </w:tr>
      <w:tr w:rsidR="000A4B03" w:rsidRPr="000A4B03" w:rsidTr="000A4B03">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0A4B03" w:rsidRPr="000A4B03" w:rsidRDefault="000A4B03" w:rsidP="000A4B03">
            <w:pPr>
              <w:spacing w:before="120" w:after="120" w:line="234" w:lineRule="atLeast"/>
              <w:jc w:val="center"/>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2</w:t>
            </w:r>
          </w:p>
        </w:tc>
        <w:tc>
          <w:tcPr>
            <w:tcW w:w="950" w:type="pct"/>
            <w:tcBorders>
              <w:top w:val="nil"/>
              <w:left w:val="nil"/>
              <w:bottom w:val="single" w:sz="8" w:space="0" w:color="auto"/>
              <w:right w:val="single" w:sz="8" w:space="0" w:color="auto"/>
            </w:tcBorders>
            <w:shd w:val="clear" w:color="auto" w:fill="FFFFFF"/>
            <w:hideMark/>
          </w:tcPr>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Nhóm I.2:</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 Các giao dịch thanh toán hàng hóa, dịch vụ hợp pháp được tổ chức cung ứng dịch vụ thanh toán, trung gian thanh toán cung cấp hoặc tại các đơn vị chấp nhận thanh toán do các tổ chức cung ứng dịch vụ thanh toán, trung gian thanh toán chịu trách nhiệm lựa chọn, thẩm định, giám sát và quản lý.</w:t>
            </w:r>
          </w:p>
        </w:tc>
        <w:tc>
          <w:tcPr>
            <w:tcW w:w="850" w:type="pct"/>
            <w:tcBorders>
              <w:top w:val="nil"/>
              <w:left w:val="nil"/>
              <w:bottom w:val="single" w:sz="8" w:space="0" w:color="auto"/>
              <w:right w:val="single" w:sz="8" w:space="0" w:color="auto"/>
            </w:tcBorders>
            <w:shd w:val="clear" w:color="auto" w:fill="FFFFFF"/>
            <w:hideMark/>
          </w:tcPr>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Giao dịch thỏa mãn điều kiện:</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G + T ≤ 5 triệu VND.</w:t>
            </w:r>
          </w:p>
        </w:tc>
        <w:tc>
          <w:tcPr>
            <w:tcW w:w="850" w:type="pct"/>
            <w:tcBorders>
              <w:top w:val="nil"/>
              <w:left w:val="nil"/>
              <w:bottom w:val="single" w:sz="8" w:space="0" w:color="auto"/>
              <w:right w:val="single" w:sz="8" w:space="0" w:color="auto"/>
            </w:tcBorders>
            <w:shd w:val="clear" w:color="auto" w:fill="FFFFFF"/>
            <w:hideMark/>
          </w:tcPr>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Giao dịch thỏa mãn các điều kiện:</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(i) G + T &gt; 5 triệu VND.</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(ii) G + T ≤ 100 triệu VND.</w:t>
            </w:r>
          </w:p>
        </w:tc>
        <w:tc>
          <w:tcPr>
            <w:tcW w:w="950" w:type="pct"/>
            <w:tcBorders>
              <w:top w:val="nil"/>
              <w:left w:val="nil"/>
              <w:bottom w:val="single" w:sz="8" w:space="0" w:color="auto"/>
              <w:right w:val="single" w:sz="8" w:space="0" w:color="auto"/>
            </w:tcBorders>
            <w:shd w:val="clear" w:color="auto" w:fill="FFFFFF"/>
            <w:hideMark/>
          </w:tcPr>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Giao dịch thỏa mãn các điều kiện:</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(i) G + T &gt; 100 triệu VND.</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(ii) G + T ≤ 1,5 tỷ VND.</w:t>
            </w:r>
          </w:p>
        </w:tc>
        <w:tc>
          <w:tcPr>
            <w:tcW w:w="950" w:type="pct"/>
            <w:tcBorders>
              <w:top w:val="nil"/>
              <w:left w:val="nil"/>
              <w:bottom w:val="single" w:sz="8" w:space="0" w:color="auto"/>
              <w:right w:val="single" w:sz="8" w:space="0" w:color="auto"/>
            </w:tcBorders>
            <w:shd w:val="clear" w:color="auto" w:fill="FFFFFF"/>
            <w:hideMark/>
          </w:tcPr>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Giao dịch thỏa mãn điều kiện:</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G + T &gt; 1,5 tỷ VND.</w:t>
            </w:r>
          </w:p>
        </w:tc>
      </w:tr>
      <w:tr w:rsidR="000A4B03" w:rsidRPr="000A4B03" w:rsidTr="000A4B03">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0A4B03" w:rsidRPr="000A4B03" w:rsidRDefault="000A4B03" w:rsidP="000A4B03">
            <w:pPr>
              <w:spacing w:before="120" w:after="120" w:line="234" w:lineRule="atLeast"/>
              <w:jc w:val="center"/>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3</w:t>
            </w:r>
          </w:p>
        </w:tc>
        <w:tc>
          <w:tcPr>
            <w:tcW w:w="950" w:type="pct"/>
            <w:tcBorders>
              <w:top w:val="nil"/>
              <w:left w:val="nil"/>
              <w:bottom w:val="single" w:sz="8" w:space="0" w:color="auto"/>
              <w:right w:val="single" w:sz="8" w:space="0" w:color="auto"/>
            </w:tcBorders>
            <w:shd w:val="clear" w:color="auto" w:fill="FFFFFF"/>
            <w:hideMark/>
          </w:tcPr>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Nhóm I.3:</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 Chuyển tiền trong cùng ngân hàng, khác chủ tài khoản.</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lastRenderedPageBreak/>
              <w:t>- Chuyển tiền liên ngân hàng trong nước.</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 Chuyển tiền giữa các ví điện tử.</w:t>
            </w:r>
          </w:p>
          <w:p w:rsidR="000A4B03" w:rsidRPr="000A4B03" w:rsidRDefault="000A4B03" w:rsidP="000A4B03">
            <w:pPr>
              <w:spacing w:after="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 Nạp tiền vào Ví điện tử</w:t>
            </w:r>
            <w:bookmarkStart w:id="1" w:name="_ftnref7"/>
            <w:bookmarkEnd w:id="1"/>
            <w:r w:rsidRPr="000A4B03">
              <w:rPr>
                <w:rFonts w:ascii="Times New Roman" w:eastAsia="Times New Roman" w:hAnsi="Times New Roman" w:cs="Times New Roman"/>
                <w:color w:val="000000"/>
                <w:sz w:val="26"/>
                <w:szCs w:val="26"/>
              </w:rPr>
              <w:fldChar w:fldCharType="begin"/>
            </w:r>
            <w:r w:rsidRPr="000A4B03">
              <w:rPr>
                <w:rFonts w:ascii="Times New Roman" w:eastAsia="Times New Roman" w:hAnsi="Times New Roman" w:cs="Times New Roman"/>
                <w:color w:val="000000"/>
                <w:sz w:val="26"/>
                <w:szCs w:val="26"/>
              </w:rPr>
              <w:instrText xml:space="preserve"> HYPERLINK "https://thuvienphapluat.vn/van-ban/Tien-te-Ngan-hang/Quyet-dinh-2345-QD-NHNN-2023-giai-phap-bao-mat-thanh-toan-truc-tuyen-va-the-ngan-hang-591895.aspx" \l "_ftn7" \o "" </w:instrText>
            </w:r>
            <w:r w:rsidRPr="000A4B03">
              <w:rPr>
                <w:rFonts w:ascii="Times New Roman" w:eastAsia="Times New Roman" w:hAnsi="Times New Roman" w:cs="Times New Roman"/>
                <w:color w:val="000000"/>
                <w:sz w:val="26"/>
                <w:szCs w:val="26"/>
              </w:rPr>
              <w:fldChar w:fldCharType="separate"/>
            </w:r>
            <w:r w:rsidRPr="0035136D">
              <w:rPr>
                <w:rFonts w:ascii="Times New Roman" w:eastAsia="Times New Roman" w:hAnsi="Times New Roman" w:cs="Times New Roman"/>
                <w:color w:val="000000"/>
                <w:sz w:val="26"/>
                <w:szCs w:val="26"/>
              </w:rPr>
              <w:t>7</w:t>
            </w:r>
            <w:r w:rsidRPr="000A4B03">
              <w:rPr>
                <w:rFonts w:ascii="Times New Roman" w:eastAsia="Times New Roman" w:hAnsi="Times New Roman" w:cs="Times New Roman"/>
                <w:color w:val="000000"/>
                <w:sz w:val="26"/>
                <w:szCs w:val="26"/>
              </w:rPr>
              <w:fldChar w:fldCharType="end"/>
            </w:r>
            <w:r w:rsidRPr="000A4B03">
              <w:rPr>
                <w:rFonts w:ascii="Times New Roman" w:eastAsia="Times New Roman" w:hAnsi="Times New Roman" w:cs="Times New Roman"/>
                <w:color w:val="000000"/>
                <w:sz w:val="26"/>
                <w:szCs w:val="26"/>
              </w:rPr>
              <w:t>.</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 Rút tiền từ Ví điện tử.</w:t>
            </w:r>
          </w:p>
        </w:tc>
        <w:tc>
          <w:tcPr>
            <w:tcW w:w="850" w:type="pct"/>
            <w:tcBorders>
              <w:top w:val="nil"/>
              <w:left w:val="nil"/>
              <w:bottom w:val="single" w:sz="8" w:space="0" w:color="auto"/>
              <w:right w:val="single" w:sz="8" w:space="0" w:color="auto"/>
            </w:tcBorders>
            <w:shd w:val="clear" w:color="auto" w:fill="FFFFFF"/>
            <w:hideMark/>
          </w:tcPr>
          <w:p w:rsidR="000A4B03" w:rsidRPr="000A4B03" w:rsidRDefault="000A4B03" w:rsidP="000A4B03">
            <w:pPr>
              <w:spacing w:after="0" w:line="240" w:lineRule="auto"/>
              <w:rPr>
                <w:rFonts w:ascii="Times New Roman" w:eastAsia="Times New Roman" w:hAnsi="Times New Roman" w:cs="Times New Roman"/>
                <w:color w:val="000000"/>
                <w:sz w:val="26"/>
                <w:szCs w:val="26"/>
              </w:rPr>
            </w:pPr>
          </w:p>
        </w:tc>
        <w:tc>
          <w:tcPr>
            <w:tcW w:w="850" w:type="pct"/>
            <w:tcBorders>
              <w:top w:val="nil"/>
              <w:left w:val="nil"/>
              <w:bottom w:val="single" w:sz="8" w:space="0" w:color="auto"/>
              <w:right w:val="single" w:sz="8" w:space="0" w:color="auto"/>
            </w:tcBorders>
            <w:shd w:val="clear" w:color="auto" w:fill="FFFFFF"/>
            <w:hideMark/>
          </w:tcPr>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Giao dịch thỏa mãn các điều kiện:</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(i) G ≤ 10 triệu VND.</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lastRenderedPageBreak/>
              <w:t>(ii) G + T</w:t>
            </w:r>
            <w:r w:rsidRPr="000A4B03">
              <w:rPr>
                <w:rFonts w:ascii="Times New Roman" w:eastAsia="Times New Roman" w:hAnsi="Times New Roman" w:cs="Times New Roman"/>
                <w:color w:val="000000"/>
                <w:sz w:val="26"/>
                <w:szCs w:val="26"/>
                <w:vertAlign w:val="subscript"/>
              </w:rPr>
              <w:t>ksth</w:t>
            </w:r>
            <w:r w:rsidRPr="000A4B03">
              <w:rPr>
                <w:rFonts w:ascii="Times New Roman" w:eastAsia="Times New Roman" w:hAnsi="Times New Roman" w:cs="Times New Roman"/>
                <w:color w:val="000000"/>
                <w:sz w:val="26"/>
                <w:szCs w:val="26"/>
              </w:rPr>
              <w:t> ≤ 20 triệu VND.</w:t>
            </w:r>
          </w:p>
        </w:tc>
        <w:tc>
          <w:tcPr>
            <w:tcW w:w="950" w:type="pct"/>
            <w:tcBorders>
              <w:top w:val="nil"/>
              <w:left w:val="nil"/>
              <w:bottom w:val="single" w:sz="8" w:space="0" w:color="auto"/>
              <w:right w:val="single" w:sz="8" w:space="0" w:color="auto"/>
            </w:tcBorders>
            <w:shd w:val="clear" w:color="auto" w:fill="FFFFFF"/>
            <w:hideMark/>
          </w:tcPr>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lastRenderedPageBreak/>
              <w:t>Giao dịch thỏa mãn một trong các trường hợp sau:</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lastRenderedPageBreak/>
              <w:t>1. Trường hợp 1: Giao dịch thỏa mãn các điều kiện:</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(i) G ≤ 10 triệu VND.</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(ii) G + T</w:t>
            </w:r>
            <w:r w:rsidRPr="000A4B03">
              <w:rPr>
                <w:rFonts w:ascii="Times New Roman" w:eastAsia="Times New Roman" w:hAnsi="Times New Roman" w:cs="Times New Roman"/>
                <w:color w:val="000000"/>
                <w:sz w:val="26"/>
                <w:szCs w:val="26"/>
                <w:vertAlign w:val="subscript"/>
              </w:rPr>
              <w:t>ksth</w:t>
            </w:r>
            <w:r w:rsidRPr="000A4B03">
              <w:rPr>
                <w:rFonts w:ascii="Times New Roman" w:eastAsia="Times New Roman" w:hAnsi="Times New Roman" w:cs="Times New Roman"/>
                <w:color w:val="000000"/>
                <w:sz w:val="26"/>
                <w:szCs w:val="26"/>
              </w:rPr>
              <w:t> &gt; 20 triệu VND.</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(iii) G + T ≤ 1,5 tỷ VND.</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2. Trường hợp 2: Giao dịch thỏa mãn các điều kiện:</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(i) G &gt; 10 triệu VND.</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(ii) G ≤ 500 triệu VND.</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(iii) G + T ≤ 1,5 tỷ VND.</w:t>
            </w:r>
          </w:p>
        </w:tc>
        <w:tc>
          <w:tcPr>
            <w:tcW w:w="950" w:type="pct"/>
            <w:tcBorders>
              <w:top w:val="nil"/>
              <w:left w:val="nil"/>
              <w:bottom w:val="single" w:sz="8" w:space="0" w:color="auto"/>
              <w:right w:val="single" w:sz="8" w:space="0" w:color="auto"/>
            </w:tcBorders>
            <w:shd w:val="clear" w:color="auto" w:fill="FFFFFF"/>
            <w:hideMark/>
          </w:tcPr>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lastRenderedPageBreak/>
              <w:t>Giao dịch thỏa mãn một trong các trường hợp sau:</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lastRenderedPageBreak/>
              <w:t>1. Trường hợp 1: Giao dịch thỏa mãn các điều kiện:</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(i) G ≤ 10 triệu VND.</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(ii) G + T</w:t>
            </w:r>
            <w:r w:rsidRPr="000A4B03">
              <w:rPr>
                <w:rFonts w:ascii="Times New Roman" w:eastAsia="Times New Roman" w:hAnsi="Times New Roman" w:cs="Times New Roman"/>
                <w:color w:val="000000"/>
                <w:sz w:val="26"/>
                <w:szCs w:val="26"/>
                <w:vertAlign w:val="subscript"/>
              </w:rPr>
              <w:t>ksth</w:t>
            </w:r>
            <w:r w:rsidRPr="000A4B03">
              <w:rPr>
                <w:rFonts w:ascii="Times New Roman" w:eastAsia="Times New Roman" w:hAnsi="Times New Roman" w:cs="Times New Roman"/>
                <w:color w:val="000000"/>
                <w:sz w:val="26"/>
                <w:szCs w:val="26"/>
              </w:rPr>
              <w:t> &gt; 20 triệu VND.</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(iii) G + T &gt; 1,5 tỷ VND.</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2. Trường hợp 2: Giao dịch thỏa mãn các điều kiện:</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(i) G &gt; 10 triệu VND.</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(ii) G ≤ 500 triệu VND.</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(iii) G + T &gt; 1,5 tỷ VND.</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3. Trường hợp 3: Giao dịch thỏa mãn điều kiện:</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G &gt; 500 triệu VND.</w:t>
            </w:r>
          </w:p>
        </w:tc>
      </w:tr>
      <w:tr w:rsidR="000A4B03" w:rsidRPr="000A4B03" w:rsidTr="000A4B03">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0A4B03" w:rsidRPr="000A4B03" w:rsidRDefault="000A4B03" w:rsidP="000A4B03">
            <w:pPr>
              <w:spacing w:before="120" w:after="120" w:line="234" w:lineRule="atLeast"/>
              <w:jc w:val="center"/>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lastRenderedPageBreak/>
              <w:t>4</w:t>
            </w:r>
          </w:p>
        </w:tc>
        <w:tc>
          <w:tcPr>
            <w:tcW w:w="950" w:type="pct"/>
            <w:tcBorders>
              <w:top w:val="nil"/>
              <w:left w:val="nil"/>
              <w:bottom w:val="single" w:sz="8" w:space="0" w:color="auto"/>
              <w:right w:val="single" w:sz="8" w:space="0" w:color="auto"/>
            </w:tcBorders>
            <w:shd w:val="clear" w:color="auto" w:fill="FFFFFF"/>
            <w:hideMark/>
          </w:tcPr>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Nhóm I.4:</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Chuyển tiền liên ngân hàng ra nước ngoài*.</w:t>
            </w:r>
          </w:p>
        </w:tc>
        <w:tc>
          <w:tcPr>
            <w:tcW w:w="850" w:type="pct"/>
            <w:tcBorders>
              <w:top w:val="nil"/>
              <w:left w:val="nil"/>
              <w:bottom w:val="single" w:sz="8" w:space="0" w:color="auto"/>
              <w:right w:val="single" w:sz="8" w:space="0" w:color="auto"/>
            </w:tcBorders>
            <w:shd w:val="clear" w:color="auto" w:fill="FFFFFF"/>
            <w:hideMark/>
          </w:tcPr>
          <w:p w:rsidR="000A4B03" w:rsidRPr="000A4B03" w:rsidRDefault="000A4B03" w:rsidP="000A4B03">
            <w:pPr>
              <w:spacing w:after="0" w:line="240" w:lineRule="auto"/>
              <w:rPr>
                <w:rFonts w:ascii="Times New Roman" w:eastAsia="Times New Roman" w:hAnsi="Times New Roman" w:cs="Times New Roman"/>
                <w:color w:val="000000"/>
                <w:sz w:val="26"/>
                <w:szCs w:val="26"/>
              </w:rPr>
            </w:pPr>
          </w:p>
        </w:tc>
        <w:tc>
          <w:tcPr>
            <w:tcW w:w="850" w:type="pct"/>
            <w:tcBorders>
              <w:top w:val="nil"/>
              <w:left w:val="nil"/>
              <w:bottom w:val="single" w:sz="8" w:space="0" w:color="auto"/>
              <w:right w:val="single" w:sz="8" w:space="0" w:color="auto"/>
            </w:tcBorders>
            <w:shd w:val="clear" w:color="auto" w:fill="FFFFFF"/>
            <w:hideMark/>
          </w:tcPr>
          <w:p w:rsidR="000A4B03" w:rsidRPr="000A4B03" w:rsidRDefault="000A4B03" w:rsidP="000A4B03">
            <w:pPr>
              <w:spacing w:after="0" w:line="240" w:lineRule="auto"/>
              <w:rPr>
                <w:rFonts w:ascii="Times New Roman" w:eastAsia="Times New Roman" w:hAnsi="Times New Roman" w:cs="Times New Roman"/>
                <w:sz w:val="26"/>
                <w:szCs w:val="26"/>
              </w:rPr>
            </w:pPr>
          </w:p>
        </w:tc>
        <w:tc>
          <w:tcPr>
            <w:tcW w:w="950" w:type="pct"/>
            <w:tcBorders>
              <w:top w:val="nil"/>
              <w:left w:val="nil"/>
              <w:bottom w:val="single" w:sz="8" w:space="0" w:color="auto"/>
              <w:right w:val="single" w:sz="8" w:space="0" w:color="auto"/>
            </w:tcBorders>
            <w:shd w:val="clear" w:color="auto" w:fill="FFFFFF"/>
            <w:hideMark/>
          </w:tcPr>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Giao dịch thỏa mãn các điều kiện:</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(i) G ≤ 200 triệu VND.</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(ii) G + T ≤ 1 tỷ VND.</w:t>
            </w:r>
          </w:p>
        </w:tc>
        <w:tc>
          <w:tcPr>
            <w:tcW w:w="950" w:type="pct"/>
            <w:tcBorders>
              <w:top w:val="nil"/>
              <w:left w:val="nil"/>
              <w:bottom w:val="single" w:sz="8" w:space="0" w:color="auto"/>
              <w:right w:val="single" w:sz="8" w:space="0" w:color="auto"/>
            </w:tcBorders>
            <w:shd w:val="clear" w:color="auto" w:fill="FFFFFF"/>
            <w:hideMark/>
          </w:tcPr>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Giao dịch thỏa mãn một trong các trường hợp sau:</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1. Trường hợp 1: Giao dịch thỏa mãn các điều kiện:</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(i) G ≤ 200 triệu VND.</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(ii) G + T &gt; 1 tỷ VND.</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2. Trường hợp 2: Giao dịch thỏa mãn điều kiện:</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lastRenderedPageBreak/>
              <w:t>G &gt; 200 triệu VND.</w:t>
            </w:r>
          </w:p>
        </w:tc>
      </w:tr>
      <w:tr w:rsidR="000A4B03" w:rsidRPr="000A4B03" w:rsidTr="000A4B03">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0A4B03" w:rsidRPr="000A4B03" w:rsidRDefault="000A4B03" w:rsidP="000A4B03">
            <w:pPr>
              <w:spacing w:before="120" w:after="120" w:line="234" w:lineRule="atLeast"/>
              <w:jc w:val="center"/>
              <w:rPr>
                <w:rFonts w:ascii="Times New Roman" w:eastAsia="Times New Roman" w:hAnsi="Times New Roman" w:cs="Times New Roman"/>
                <w:color w:val="000000"/>
                <w:sz w:val="26"/>
                <w:szCs w:val="26"/>
              </w:rPr>
            </w:pPr>
            <w:r w:rsidRPr="000A4B03">
              <w:rPr>
                <w:rFonts w:ascii="Times New Roman" w:eastAsia="Times New Roman" w:hAnsi="Times New Roman" w:cs="Times New Roman"/>
                <w:b/>
                <w:bCs/>
                <w:color w:val="000000"/>
                <w:sz w:val="26"/>
                <w:szCs w:val="26"/>
              </w:rPr>
              <w:lastRenderedPageBreak/>
              <w:t>II</w:t>
            </w:r>
          </w:p>
        </w:tc>
        <w:tc>
          <w:tcPr>
            <w:tcW w:w="950" w:type="pct"/>
            <w:tcBorders>
              <w:top w:val="nil"/>
              <w:left w:val="nil"/>
              <w:bottom w:val="single" w:sz="8" w:space="0" w:color="auto"/>
              <w:right w:val="single" w:sz="8" w:space="0" w:color="auto"/>
            </w:tcBorders>
            <w:shd w:val="clear" w:color="auto" w:fill="FFFFFF"/>
            <w:hideMark/>
          </w:tcPr>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b/>
                <w:bCs/>
                <w:color w:val="000000"/>
                <w:sz w:val="26"/>
                <w:szCs w:val="26"/>
              </w:rPr>
              <w:t>Khách hàng tổ chức</w:t>
            </w:r>
          </w:p>
        </w:tc>
        <w:tc>
          <w:tcPr>
            <w:tcW w:w="850" w:type="pct"/>
            <w:tcBorders>
              <w:top w:val="nil"/>
              <w:left w:val="nil"/>
              <w:bottom w:val="single" w:sz="8" w:space="0" w:color="auto"/>
              <w:right w:val="single" w:sz="8" w:space="0" w:color="auto"/>
            </w:tcBorders>
            <w:shd w:val="clear" w:color="auto" w:fill="FFFFFF"/>
            <w:hideMark/>
          </w:tcPr>
          <w:p w:rsidR="000A4B03" w:rsidRPr="000A4B03" w:rsidRDefault="000A4B03" w:rsidP="000A4B03">
            <w:pPr>
              <w:spacing w:after="0" w:line="240" w:lineRule="auto"/>
              <w:rPr>
                <w:rFonts w:ascii="Times New Roman" w:eastAsia="Times New Roman" w:hAnsi="Times New Roman" w:cs="Times New Roman"/>
                <w:color w:val="000000"/>
                <w:sz w:val="26"/>
                <w:szCs w:val="26"/>
              </w:rPr>
            </w:pPr>
          </w:p>
        </w:tc>
        <w:tc>
          <w:tcPr>
            <w:tcW w:w="850" w:type="pct"/>
            <w:tcBorders>
              <w:top w:val="nil"/>
              <w:left w:val="nil"/>
              <w:bottom w:val="single" w:sz="8" w:space="0" w:color="auto"/>
              <w:right w:val="single" w:sz="8" w:space="0" w:color="auto"/>
            </w:tcBorders>
            <w:shd w:val="clear" w:color="auto" w:fill="FFFFFF"/>
            <w:hideMark/>
          </w:tcPr>
          <w:p w:rsidR="000A4B03" w:rsidRPr="000A4B03" w:rsidRDefault="000A4B03" w:rsidP="000A4B03">
            <w:pPr>
              <w:spacing w:after="0" w:line="240" w:lineRule="auto"/>
              <w:rPr>
                <w:rFonts w:ascii="Times New Roman" w:eastAsia="Times New Roman" w:hAnsi="Times New Roman" w:cs="Times New Roman"/>
                <w:sz w:val="26"/>
                <w:szCs w:val="26"/>
              </w:rPr>
            </w:pPr>
          </w:p>
        </w:tc>
        <w:tc>
          <w:tcPr>
            <w:tcW w:w="950" w:type="pct"/>
            <w:tcBorders>
              <w:top w:val="nil"/>
              <w:left w:val="nil"/>
              <w:bottom w:val="single" w:sz="8" w:space="0" w:color="auto"/>
              <w:right w:val="single" w:sz="8" w:space="0" w:color="auto"/>
            </w:tcBorders>
            <w:shd w:val="clear" w:color="auto" w:fill="FFFFFF"/>
            <w:hideMark/>
          </w:tcPr>
          <w:p w:rsidR="000A4B03" w:rsidRPr="000A4B03" w:rsidRDefault="000A4B03" w:rsidP="000A4B03">
            <w:pPr>
              <w:spacing w:after="0" w:line="240" w:lineRule="auto"/>
              <w:rPr>
                <w:rFonts w:ascii="Times New Roman" w:eastAsia="Times New Roman" w:hAnsi="Times New Roman" w:cs="Times New Roman"/>
                <w:sz w:val="26"/>
                <w:szCs w:val="26"/>
              </w:rPr>
            </w:pPr>
          </w:p>
        </w:tc>
        <w:tc>
          <w:tcPr>
            <w:tcW w:w="950" w:type="pct"/>
            <w:tcBorders>
              <w:top w:val="nil"/>
              <w:left w:val="nil"/>
              <w:bottom w:val="single" w:sz="8" w:space="0" w:color="auto"/>
              <w:right w:val="single" w:sz="8" w:space="0" w:color="auto"/>
            </w:tcBorders>
            <w:shd w:val="clear" w:color="auto" w:fill="FFFFFF"/>
            <w:hideMark/>
          </w:tcPr>
          <w:p w:rsidR="000A4B03" w:rsidRPr="000A4B03" w:rsidRDefault="000A4B03" w:rsidP="000A4B03">
            <w:pPr>
              <w:spacing w:after="0" w:line="240" w:lineRule="auto"/>
              <w:rPr>
                <w:rFonts w:ascii="Times New Roman" w:eastAsia="Times New Roman" w:hAnsi="Times New Roman" w:cs="Times New Roman"/>
                <w:sz w:val="26"/>
                <w:szCs w:val="26"/>
              </w:rPr>
            </w:pPr>
          </w:p>
        </w:tc>
      </w:tr>
      <w:tr w:rsidR="000A4B03" w:rsidRPr="000A4B03" w:rsidTr="000A4B03">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0A4B03" w:rsidRPr="000A4B03" w:rsidRDefault="000A4B03" w:rsidP="000A4B03">
            <w:pPr>
              <w:spacing w:before="120" w:after="120" w:line="234" w:lineRule="atLeast"/>
              <w:jc w:val="center"/>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1</w:t>
            </w:r>
          </w:p>
        </w:tc>
        <w:tc>
          <w:tcPr>
            <w:tcW w:w="950" w:type="pct"/>
            <w:tcBorders>
              <w:top w:val="nil"/>
              <w:left w:val="nil"/>
              <w:bottom w:val="single" w:sz="8" w:space="0" w:color="auto"/>
              <w:right w:val="single" w:sz="8" w:space="0" w:color="auto"/>
            </w:tcBorders>
            <w:shd w:val="clear" w:color="auto" w:fill="FFFFFF"/>
            <w:hideMark/>
          </w:tcPr>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Nhóm II.1:</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Các giao dịch tra cứu thông tin.</w:t>
            </w:r>
          </w:p>
        </w:tc>
        <w:tc>
          <w:tcPr>
            <w:tcW w:w="850" w:type="pct"/>
            <w:tcBorders>
              <w:top w:val="nil"/>
              <w:left w:val="nil"/>
              <w:bottom w:val="single" w:sz="8" w:space="0" w:color="auto"/>
              <w:right w:val="single" w:sz="8" w:space="0" w:color="auto"/>
            </w:tcBorders>
            <w:shd w:val="clear" w:color="auto" w:fill="FFFFFF"/>
            <w:hideMark/>
          </w:tcPr>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Tất cả các giao dịch.</w:t>
            </w:r>
          </w:p>
        </w:tc>
        <w:tc>
          <w:tcPr>
            <w:tcW w:w="850" w:type="pct"/>
            <w:tcBorders>
              <w:top w:val="nil"/>
              <w:left w:val="nil"/>
              <w:bottom w:val="single" w:sz="8" w:space="0" w:color="auto"/>
              <w:right w:val="single" w:sz="8" w:space="0" w:color="auto"/>
            </w:tcBorders>
            <w:shd w:val="clear" w:color="auto" w:fill="FFFFFF"/>
            <w:hideMark/>
          </w:tcPr>
          <w:p w:rsidR="000A4B03" w:rsidRPr="000A4B03" w:rsidRDefault="000A4B03" w:rsidP="000A4B03">
            <w:pPr>
              <w:spacing w:after="0" w:line="240" w:lineRule="auto"/>
              <w:rPr>
                <w:rFonts w:ascii="Times New Roman" w:eastAsia="Times New Roman" w:hAnsi="Times New Roman" w:cs="Times New Roman"/>
                <w:color w:val="000000"/>
                <w:sz w:val="26"/>
                <w:szCs w:val="26"/>
              </w:rPr>
            </w:pPr>
          </w:p>
        </w:tc>
        <w:tc>
          <w:tcPr>
            <w:tcW w:w="950" w:type="pct"/>
            <w:tcBorders>
              <w:top w:val="nil"/>
              <w:left w:val="nil"/>
              <w:bottom w:val="single" w:sz="8" w:space="0" w:color="auto"/>
              <w:right w:val="single" w:sz="8" w:space="0" w:color="auto"/>
            </w:tcBorders>
            <w:shd w:val="clear" w:color="auto" w:fill="FFFFFF"/>
            <w:hideMark/>
          </w:tcPr>
          <w:p w:rsidR="000A4B03" w:rsidRPr="000A4B03" w:rsidRDefault="000A4B03" w:rsidP="000A4B03">
            <w:pPr>
              <w:spacing w:after="0" w:line="240" w:lineRule="auto"/>
              <w:rPr>
                <w:rFonts w:ascii="Times New Roman" w:eastAsia="Times New Roman" w:hAnsi="Times New Roman" w:cs="Times New Roman"/>
                <w:sz w:val="26"/>
                <w:szCs w:val="26"/>
              </w:rPr>
            </w:pPr>
          </w:p>
        </w:tc>
        <w:tc>
          <w:tcPr>
            <w:tcW w:w="950" w:type="pct"/>
            <w:tcBorders>
              <w:top w:val="nil"/>
              <w:left w:val="nil"/>
              <w:bottom w:val="single" w:sz="8" w:space="0" w:color="auto"/>
              <w:right w:val="single" w:sz="8" w:space="0" w:color="auto"/>
            </w:tcBorders>
            <w:shd w:val="clear" w:color="auto" w:fill="FFFFFF"/>
            <w:hideMark/>
          </w:tcPr>
          <w:p w:rsidR="000A4B03" w:rsidRPr="000A4B03" w:rsidRDefault="000A4B03" w:rsidP="000A4B03">
            <w:pPr>
              <w:spacing w:after="0" w:line="240" w:lineRule="auto"/>
              <w:rPr>
                <w:rFonts w:ascii="Times New Roman" w:eastAsia="Times New Roman" w:hAnsi="Times New Roman" w:cs="Times New Roman"/>
                <w:sz w:val="26"/>
                <w:szCs w:val="26"/>
              </w:rPr>
            </w:pPr>
          </w:p>
        </w:tc>
      </w:tr>
      <w:tr w:rsidR="000A4B03" w:rsidRPr="000A4B03" w:rsidTr="000A4B03">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0A4B03" w:rsidRPr="000A4B03" w:rsidRDefault="000A4B03" w:rsidP="000A4B03">
            <w:pPr>
              <w:spacing w:before="120" w:after="120" w:line="234" w:lineRule="atLeast"/>
              <w:jc w:val="center"/>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2</w:t>
            </w:r>
          </w:p>
        </w:tc>
        <w:tc>
          <w:tcPr>
            <w:tcW w:w="950" w:type="pct"/>
            <w:tcBorders>
              <w:top w:val="nil"/>
              <w:left w:val="nil"/>
              <w:bottom w:val="single" w:sz="8" w:space="0" w:color="auto"/>
              <w:right w:val="single" w:sz="8" w:space="0" w:color="auto"/>
            </w:tcBorders>
            <w:shd w:val="clear" w:color="auto" w:fill="FFFFFF"/>
            <w:hideMark/>
          </w:tcPr>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Nhóm II.2:</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Chuyển tiền trong cùng ngân hàng, cùng chủ tài khoản.</w:t>
            </w:r>
          </w:p>
        </w:tc>
        <w:tc>
          <w:tcPr>
            <w:tcW w:w="850" w:type="pct"/>
            <w:tcBorders>
              <w:top w:val="nil"/>
              <w:left w:val="nil"/>
              <w:bottom w:val="single" w:sz="8" w:space="0" w:color="auto"/>
              <w:right w:val="single" w:sz="8" w:space="0" w:color="auto"/>
            </w:tcBorders>
            <w:shd w:val="clear" w:color="auto" w:fill="FFFFFF"/>
            <w:hideMark/>
          </w:tcPr>
          <w:p w:rsidR="000A4B03" w:rsidRPr="000A4B03" w:rsidRDefault="000A4B03" w:rsidP="000A4B03">
            <w:pPr>
              <w:spacing w:after="0" w:line="240" w:lineRule="auto"/>
              <w:rPr>
                <w:rFonts w:ascii="Times New Roman" w:eastAsia="Times New Roman" w:hAnsi="Times New Roman" w:cs="Times New Roman"/>
                <w:color w:val="000000"/>
                <w:sz w:val="26"/>
                <w:szCs w:val="26"/>
              </w:rPr>
            </w:pPr>
          </w:p>
        </w:tc>
        <w:tc>
          <w:tcPr>
            <w:tcW w:w="850" w:type="pct"/>
            <w:tcBorders>
              <w:top w:val="nil"/>
              <w:left w:val="nil"/>
              <w:bottom w:val="single" w:sz="8" w:space="0" w:color="auto"/>
              <w:right w:val="single" w:sz="8" w:space="0" w:color="auto"/>
            </w:tcBorders>
            <w:shd w:val="clear" w:color="auto" w:fill="FFFFFF"/>
            <w:vAlign w:val="center"/>
            <w:hideMark/>
          </w:tcPr>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Tất cả các giao dịch.</w:t>
            </w:r>
          </w:p>
        </w:tc>
        <w:tc>
          <w:tcPr>
            <w:tcW w:w="950" w:type="pct"/>
            <w:tcBorders>
              <w:top w:val="nil"/>
              <w:left w:val="nil"/>
              <w:bottom w:val="single" w:sz="8" w:space="0" w:color="auto"/>
              <w:right w:val="single" w:sz="8" w:space="0" w:color="auto"/>
            </w:tcBorders>
            <w:shd w:val="clear" w:color="auto" w:fill="FFFFFF"/>
            <w:hideMark/>
          </w:tcPr>
          <w:p w:rsidR="000A4B03" w:rsidRPr="000A4B03" w:rsidRDefault="000A4B03" w:rsidP="000A4B03">
            <w:pPr>
              <w:spacing w:after="0" w:line="240" w:lineRule="auto"/>
              <w:rPr>
                <w:rFonts w:ascii="Times New Roman" w:eastAsia="Times New Roman" w:hAnsi="Times New Roman" w:cs="Times New Roman"/>
                <w:color w:val="000000"/>
                <w:sz w:val="26"/>
                <w:szCs w:val="26"/>
              </w:rPr>
            </w:pPr>
          </w:p>
        </w:tc>
        <w:tc>
          <w:tcPr>
            <w:tcW w:w="950" w:type="pct"/>
            <w:tcBorders>
              <w:top w:val="nil"/>
              <w:left w:val="nil"/>
              <w:bottom w:val="single" w:sz="8" w:space="0" w:color="auto"/>
              <w:right w:val="single" w:sz="8" w:space="0" w:color="auto"/>
            </w:tcBorders>
            <w:shd w:val="clear" w:color="auto" w:fill="FFFFFF"/>
            <w:hideMark/>
          </w:tcPr>
          <w:p w:rsidR="000A4B03" w:rsidRPr="000A4B03" w:rsidRDefault="000A4B03" w:rsidP="000A4B03">
            <w:pPr>
              <w:spacing w:after="0" w:line="240" w:lineRule="auto"/>
              <w:rPr>
                <w:rFonts w:ascii="Times New Roman" w:eastAsia="Times New Roman" w:hAnsi="Times New Roman" w:cs="Times New Roman"/>
                <w:sz w:val="26"/>
                <w:szCs w:val="26"/>
              </w:rPr>
            </w:pPr>
          </w:p>
        </w:tc>
      </w:tr>
      <w:tr w:rsidR="000A4B03" w:rsidRPr="000A4B03" w:rsidTr="000A4B03">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0A4B03" w:rsidRPr="000A4B03" w:rsidRDefault="000A4B03" w:rsidP="000A4B03">
            <w:pPr>
              <w:spacing w:before="120" w:after="120" w:line="234" w:lineRule="atLeast"/>
              <w:jc w:val="center"/>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3</w:t>
            </w:r>
          </w:p>
        </w:tc>
        <w:tc>
          <w:tcPr>
            <w:tcW w:w="950" w:type="pct"/>
            <w:tcBorders>
              <w:top w:val="nil"/>
              <w:left w:val="nil"/>
              <w:bottom w:val="single" w:sz="8" w:space="0" w:color="auto"/>
              <w:right w:val="single" w:sz="8" w:space="0" w:color="auto"/>
            </w:tcBorders>
            <w:shd w:val="clear" w:color="auto" w:fill="FFFFFF"/>
            <w:hideMark/>
          </w:tcPr>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Nhóm II.3:</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 Chuyển tiền trong cùng ngân hàng, khác chủ tài khoản.</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 Chuyển tiền liên ngân hàng trong nước.</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 Các giao dịch thanh toán hàng hóa, dịch vụ hợp pháp được tổ chức cung ứng dịch vụ thanh toán, trung gian thanh toán cung cấp hoặc tại các đơn vị chấp nhận thanh toán do các tổ chức cung ứng dịch vụ thanh toán, trung gian thanh toán chịu trách nhiệm lựa chọn, thẩm định, giám sát và quản lý.</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lastRenderedPageBreak/>
              <w:t>- Chuyển tiền giữa các ví điện tử.</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 Nạp tiền vào Ví điện tử.</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 Rút tiền từ Ví điện tử.</w:t>
            </w:r>
          </w:p>
        </w:tc>
        <w:tc>
          <w:tcPr>
            <w:tcW w:w="850" w:type="pct"/>
            <w:tcBorders>
              <w:top w:val="nil"/>
              <w:left w:val="nil"/>
              <w:bottom w:val="single" w:sz="8" w:space="0" w:color="auto"/>
              <w:right w:val="single" w:sz="8" w:space="0" w:color="auto"/>
            </w:tcBorders>
            <w:shd w:val="clear" w:color="auto" w:fill="FFFFFF"/>
            <w:hideMark/>
          </w:tcPr>
          <w:p w:rsidR="000A4B03" w:rsidRPr="000A4B03" w:rsidRDefault="000A4B03" w:rsidP="000A4B03">
            <w:pPr>
              <w:spacing w:after="0" w:line="240" w:lineRule="auto"/>
              <w:rPr>
                <w:rFonts w:ascii="Times New Roman" w:eastAsia="Times New Roman" w:hAnsi="Times New Roman" w:cs="Times New Roman"/>
                <w:color w:val="000000"/>
                <w:sz w:val="26"/>
                <w:szCs w:val="26"/>
              </w:rPr>
            </w:pPr>
          </w:p>
        </w:tc>
        <w:tc>
          <w:tcPr>
            <w:tcW w:w="850" w:type="pct"/>
            <w:tcBorders>
              <w:top w:val="nil"/>
              <w:left w:val="nil"/>
              <w:bottom w:val="single" w:sz="8" w:space="0" w:color="auto"/>
              <w:right w:val="single" w:sz="8" w:space="0" w:color="auto"/>
            </w:tcBorders>
            <w:shd w:val="clear" w:color="auto" w:fill="FFFFFF"/>
            <w:hideMark/>
          </w:tcPr>
          <w:p w:rsidR="000A4B03" w:rsidRPr="000A4B03" w:rsidRDefault="000A4B03" w:rsidP="000A4B03">
            <w:pPr>
              <w:spacing w:after="0" w:line="240" w:lineRule="auto"/>
              <w:rPr>
                <w:rFonts w:ascii="Times New Roman" w:eastAsia="Times New Roman" w:hAnsi="Times New Roman" w:cs="Times New Roman"/>
                <w:sz w:val="26"/>
                <w:szCs w:val="26"/>
              </w:rPr>
            </w:pPr>
          </w:p>
        </w:tc>
        <w:tc>
          <w:tcPr>
            <w:tcW w:w="950" w:type="pct"/>
            <w:tcBorders>
              <w:top w:val="nil"/>
              <w:left w:val="nil"/>
              <w:bottom w:val="single" w:sz="8" w:space="0" w:color="auto"/>
              <w:right w:val="single" w:sz="8" w:space="0" w:color="auto"/>
            </w:tcBorders>
            <w:shd w:val="clear" w:color="auto" w:fill="FFFFFF"/>
            <w:hideMark/>
          </w:tcPr>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Giao dịch thỏa mãn các điều kiện:</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(i) G ≤ 1 tỷ VND.</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(ii) G + T ≤ 10 tỷ VND.</w:t>
            </w:r>
          </w:p>
        </w:tc>
        <w:tc>
          <w:tcPr>
            <w:tcW w:w="950" w:type="pct"/>
            <w:tcBorders>
              <w:top w:val="nil"/>
              <w:left w:val="nil"/>
              <w:bottom w:val="single" w:sz="8" w:space="0" w:color="auto"/>
              <w:right w:val="single" w:sz="8" w:space="0" w:color="auto"/>
            </w:tcBorders>
            <w:shd w:val="clear" w:color="auto" w:fill="FFFFFF"/>
            <w:hideMark/>
          </w:tcPr>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Giao dịch thỏa mãn một trong các trường hợp sau:</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1. Trường hợp 1: Giao dịch thỏa mãn các điều kiện:</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(i) G ≤ 1 tỷ VND.</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(ii) G + T &gt; 10 tỷ VND.</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2. Trường hợp 2: Giao dịch thỏa mãn điều kiện:</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G &gt; 1 tỷ VND.</w:t>
            </w:r>
          </w:p>
        </w:tc>
      </w:tr>
      <w:tr w:rsidR="000A4B03" w:rsidRPr="000A4B03" w:rsidTr="000A4B03">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0A4B03" w:rsidRPr="000A4B03" w:rsidRDefault="000A4B03" w:rsidP="000A4B03">
            <w:pPr>
              <w:spacing w:before="120" w:after="120" w:line="234" w:lineRule="atLeast"/>
              <w:jc w:val="center"/>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lastRenderedPageBreak/>
              <w:t>4</w:t>
            </w:r>
          </w:p>
        </w:tc>
        <w:tc>
          <w:tcPr>
            <w:tcW w:w="950" w:type="pct"/>
            <w:tcBorders>
              <w:top w:val="nil"/>
              <w:left w:val="nil"/>
              <w:bottom w:val="single" w:sz="8" w:space="0" w:color="auto"/>
              <w:right w:val="single" w:sz="8" w:space="0" w:color="auto"/>
            </w:tcBorders>
            <w:shd w:val="clear" w:color="auto" w:fill="FFFFFF"/>
            <w:hideMark/>
          </w:tcPr>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Nhóm II.4:</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Chuyển tiền liên ngân hàng ra nước ngoài*</w:t>
            </w:r>
          </w:p>
        </w:tc>
        <w:tc>
          <w:tcPr>
            <w:tcW w:w="850" w:type="pct"/>
            <w:tcBorders>
              <w:top w:val="nil"/>
              <w:left w:val="nil"/>
              <w:bottom w:val="single" w:sz="8" w:space="0" w:color="auto"/>
              <w:right w:val="single" w:sz="8" w:space="0" w:color="auto"/>
            </w:tcBorders>
            <w:shd w:val="clear" w:color="auto" w:fill="FFFFFF"/>
            <w:hideMark/>
          </w:tcPr>
          <w:p w:rsidR="000A4B03" w:rsidRPr="000A4B03" w:rsidRDefault="000A4B03" w:rsidP="000A4B03">
            <w:pPr>
              <w:spacing w:after="0" w:line="240" w:lineRule="auto"/>
              <w:rPr>
                <w:rFonts w:ascii="Times New Roman" w:eastAsia="Times New Roman" w:hAnsi="Times New Roman" w:cs="Times New Roman"/>
                <w:color w:val="000000"/>
                <w:sz w:val="26"/>
                <w:szCs w:val="26"/>
              </w:rPr>
            </w:pPr>
          </w:p>
        </w:tc>
        <w:tc>
          <w:tcPr>
            <w:tcW w:w="850" w:type="pct"/>
            <w:tcBorders>
              <w:top w:val="nil"/>
              <w:left w:val="nil"/>
              <w:bottom w:val="single" w:sz="8" w:space="0" w:color="auto"/>
              <w:right w:val="single" w:sz="8" w:space="0" w:color="auto"/>
            </w:tcBorders>
            <w:shd w:val="clear" w:color="auto" w:fill="FFFFFF"/>
            <w:hideMark/>
          </w:tcPr>
          <w:p w:rsidR="000A4B03" w:rsidRPr="000A4B03" w:rsidRDefault="000A4B03" w:rsidP="000A4B03">
            <w:pPr>
              <w:spacing w:after="0" w:line="240" w:lineRule="auto"/>
              <w:rPr>
                <w:rFonts w:ascii="Times New Roman" w:eastAsia="Times New Roman" w:hAnsi="Times New Roman" w:cs="Times New Roman"/>
                <w:sz w:val="26"/>
                <w:szCs w:val="26"/>
              </w:rPr>
            </w:pPr>
          </w:p>
        </w:tc>
        <w:tc>
          <w:tcPr>
            <w:tcW w:w="950" w:type="pct"/>
            <w:tcBorders>
              <w:top w:val="nil"/>
              <w:left w:val="nil"/>
              <w:bottom w:val="single" w:sz="8" w:space="0" w:color="auto"/>
              <w:right w:val="single" w:sz="8" w:space="0" w:color="auto"/>
            </w:tcBorders>
            <w:shd w:val="clear" w:color="auto" w:fill="FFFFFF"/>
            <w:hideMark/>
          </w:tcPr>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Giao dịch thỏa mãn các điều kiện:</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(i) G ≤ 500 triệu VND.</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(ii) G + T ≤ 5 tỷ VND.</w:t>
            </w:r>
          </w:p>
        </w:tc>
        <w:tc>
          <w:tcPr>
            <w:tcW w:w="950" w:type="pct"/>
            <w:tcBorders>
              <w:top w:val="nil"/>
              <w:left w:val="nil"/>
              <w:bottom w:val="single" w:sz="8" w:space="0" w:color="auto"/>
              <w:right w:val="single" w:sz="8" w:space="0" w:color="auto"/>
            </w:tcBorders>
            <w:shd w:val="clear" w:color="auto" w:fill="FFFFFF"/>
            <w:hideMark/>
          </w:tcPr>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Giao dịch thỏa mãn một trong các trường hợp sau:</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1. Trường hợp 1: Giao dịch thỏa mãn các điều kiện:</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(i) G ≤ 500 triệu VND.</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(ii) G + T &gt; 5 tỷ VND.</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2. Trường hợp 2: Giao dịch thỏa mãn điều kiện:</w:t>
            </w:r>
          </w:p>
          <w:p w:rsidR="000A4B03" w:rsidRPr="000A4B03" w:rsidRDefault="000A4B03" w:rsidP="000A4B03">
            <w:pPr>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G &gt; 500 triệu VND.</w:t>
            </w:r>
          </w:p>
        </w:tc>
      </w:tr>
    </w:tbl>
    <w:p w:rsidR="000A4B03" w:rsidRPr="000A4B03" w:rsidRDefault="000A4B03" w:rsidP="000A4B03">
      <w:pPr>
        <w:shd w:val="clear" w:color="auto" w:fill="FFFFFF"/>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b/>
          <w:bCs/>
          <w:i/>
          <w:iCs/>
          <w:color w:val="000000"/>
          <w:sz w:val="26"/>
          <w:szCs w:val="26"/>
          <w:u w:val="single"/>
        </w:rPr>
        <w:t>Ghi chú</w:t>
      </w:r>
      <w:r w:rsidRPr="000A4B03">
        <w:rPr>
          <w:rFonts w:ascii="Times New Roman" w:eastAsia="Times New Roman" w:hAnsi="Times New Roman" w:cs="Times New Roman"/>
          <w:b/>
          <w:bCs/>
          <w:i/>
          <w:iCs/>
          <w:color w:val="000000"/>
          <w:sz w:val="26"/>
          <w:szCs w:val="26"/>
        </w:rPr>
        <w:t>:</w:t>
      </w:r>
    </w:p>
    <w:p w:rsidR="000A4B03" w:rsidRPr="000A4B03" w:rsidRDefault="000A4B03" w:rsidP="000A4B03">
      <w:pPr>
        <w:shd w:val="clear" w:color="auto" w:fill="FFFFFF"/>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G: Giá trị của giao dịch.</w:t>
      </w:r>
    </w:p>
    <w:p w:rsidR="000A4B03" w:rsidRPr="000A4B03" w:rsidRDefault="000A4B03" w:rsidP="000A4B03">
      <w:pPr>
        <w:shd w:val="clear" w:color="auto" w:fill="FFFFFF"/>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T</w:t>
      </w:r>
      <w:r w:rsidRPr="000A4B03">
        <w:rPr>
          <w:rFonts w:ascii="Times New Roman" w:eastAsia="Times New Roman" w:hAnsi="Times New Roman" w:cs="Times New Roman"/>
          <w:color w:val="000000"/>
          <w:sz w:val="26"/>
          <w:szCs w:val="26"/>
          <w:vertAlign w:val="subscript"/>
        </w:rPr>
        <w:t>ksth</w:t>
      </w:r>
      <w:r w:rsidRPr="000A4B03">
        <w:rPr>
          <w:rFonts w:ascii="Times New Roman" w:eastAsia="Times New Roman" w:hAnsi="Times New Roman" w:cs="Times New Roman"/>
          <w:color w:val="000000"/>
          <w:sz w:val="26"/>
          <w:szCs w:val="26"/>
        </w:rPr>
        <w:t>: Tổng giá trị các giao dịch loại A và loại B của từng nhóm loại hình giao dịch đã thực hiện của một tài khoản ngân hàng </w:t>
      </w:r>
      <w:r w:rsidRPr="000A4B03">
        <w:rPr>
          <w:rFonts w:ascii="Times New Roman" w:eastAsia="Times New Roman" w:hAnsi="Times New Roman" w:cs="Times New Roman"/>
          <w:i/>
          <w:iCs/>
          <w:color w:val="000000"/>
          <w:sz w:val="26"/>
          <w:szCs w:val="26"/>
        </w:rPr>
        <w:t>(bao gồm giao dịch nạp tiền vào ví điện tử)</w:t>
      </w:r>
      <w:r w:rsidRPr="000A4B03">
        <w:rPr>
          <w:rFonts w:ascii="Times New Roman" w:eastAsia="Times New Roman" w:hAnsi="Times New Roman" w:cs="Times New Roman"/>
          <w:color w:val="000000"/>
          <w:sz w:val="26"/>
          <w:szCs w:val="26"/>
        </w:rPr>
        <w:t> hoặc một ví điện tử </w:t>
      </w:r>
      <w:r w:rsidRPr="000A4B03">
        <w:rPr>
          <w:rFonts w:ascii="Times New Roman" w:eastAsia="Times New Roman" w:hAnsi="Times New Roman" w:cs="Times New Roman"/>
          <w:i/>
          <w:iCs/>
          <w:color w:val="000000"/>
          <w:sz w:val="26"/>
          <w:szCs w:val="26"/>
        </w:rPr>
        <w:t>(không bao gồm giao dịch nạp tiền vào ví điện tử).</w:t>
      </w:r>
      <w:r w:rsidRPr="000A4B03">
        <w:rPr>
          <w:rFonts w:ascii="Times New Roman" w:eastAsia="Times New Roman" w:hAnsi="Times New Roman" w:cs="Times New Roman"/>
          <w:color w:val="000000"/>
          <w:sz w:val="26"/>
          <w:szCs w:val="26"/>
        </w:rPr>
        <w:t> T</w:t>
      </w:r>
      <w:r w:rsidRPr="000A4B03">
        <w:rPr>
          <w:rFonts w:ascii="Times New Roman" w:eastAsia="Times New Roman" w:hAnsi="Times New Roman" w:cs="Times New Roman"/>
          <w:color w:val="000000"/>
          <w:sz w:val="26"/>
          <w:szCs w:val="26"/>
          <w:vertAlign w:val="subscript"/>
        </w:rPr>
        <w:t>ksth</w:t>
      </w:r>
      <w:r w:rsidRPr="000A4B03">
        <w:rPr>
          <w:rFonts w:ascii="Times New Roman" w:eastAsia="Times New Roman" w:hAnsi="Times New Roman" w:cs="Times New Roman"/>
          <w:color w:val="000000"/>
          <w:sz w:val="26"/>
          <w:szCs w:val="26"/>
        </w:rPr>
        <w:t> của một tài khoản ngân hàng/ví điện tử được tính giá trị bằng 0 tại thời điểm đầu ngày hoặc ngay sau khi tài khoản ngân hàng/ví điện tử đó có phát sinh giao dịch trong ngày sử dụng biện pháp xác thực cho giao dịch loại C hoặc loại D.</w:t>
      </w:r>
    </w:p>
    <w:p w:rsidR="000A4B03" w:rsidRPr="000A4B03" w:rsidRDefault="000A4B03" w:rsidP="000A4B03">
      <w:pPr>
        <w:shd w:val="clear" w:color="auto" w:fill="FFFFFF"/>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T: Tổng giá trị các giao dịch của từng nhóm loại hình giao dịch đã thực hiện trong ngày (của một tài khoản ngân hàng </w:t>
      </w:r>
      <w:r w:rsidRPr="000A4B03">
        <w:rPr>
          <w:rFonts w:ascii="Times New Roman" w:eastAsia="Times New Roman" w:hAnsi="Times New Roman" w:cs="Times New Roman"/>
          <w:i/>
          <w:iCs/>
          <w:color w:val="000000"/>
          <w:sz w:val="26"/>
          <w:szCs w:val="26"/>
        </w:rPr>
        <w:t>(bao gồm giao dịch nạp tiền vào ví điện tử)</w:t>
      </w:r>
      <w:r w:rsidRPr="000A4B03">
        <w:rPr>
          <w:rFonts w:ascii="Times New Roman" w:eastAsia="Times New Roman" w:hAnsi="Times New Roman" w:cs="Times New Roman"/>
          <w:color w:val="000000"/>
          <w:sz w:val="26"/>
          <w:szCs w:val="26"/>
        </w:rPr>
        <w:t> hoặc một ví điện tử </w:t>
      </w:r>
      <w:r w:rsidRPr="000A4B03">
        <w:rPr>
          <w:rFonts w:ascii="Times New Roman" w:eastAsia="Times New Roman" w:hAnsi="Times New Roman" w:cs="Times New Roman"/>
          <w:i/>
          <w:iCs/>
          <w:color w:val="000000"/>
          <w:sz w:val="26"/>
          <w:szCs w:val="26"/>
        </w:rPr>
        <w:t>(không bao gồm giao dịch nạp tiền vào ví điện tử)).</w:t>
      </w:r>
    </w:p>
    <w:p w:rsidR="000A4B03" w:rsidRPr="000A4B03" w:rsidRDefault="000A4B03" w:rsidP="000A4B03">
      <w:pPr>
        <w:shd w:val="clear" w:color="auto" w:fill="FFFFFF"/>
        <w:spacing w:before="120" w:after="120" w:line="234" w:lineRule="atLeast"/>
        <w:rPr>
          <w:rFonts w:ascii="Times New Roman" w:eastAsia="Times New Roman" w:hAnsi="Times New Roman" w:cs="Times New Roman"/>
          <w:color w:val="000000"/>
          <w:sz w:val="26"/>
          <w:szCs w:val="26"/>
        </w:rPr>
      </w:pPr>
      <w:r w:rsidRPr="000A4B03">
        <w:rPr>
          <w:rFonts w:ascii="Times New Roman" w:eastAsia="Times New Roman" w:hAnsi="Times New Roman" w:cs="Times New Roman"/>
          <w:color w:val="000000"/>
          <w:sz w:val="26"/>
          <w:szCs w:val="26"/>
        </w:rPr>
        <w:t>*: Hạn mức quy đổi theo tỷ giá tại thời điểm thực hiện giao dịch.</w:t>
      </w:r>
    </w:p>
    <w:bookmarkEnd w:id="0"/>
    <w:p w:rsidR="00D61DCF" w:rsidRPr="0035136D" w:rsidRDefault="00D61DCF">
      <w:pPr>
        <w:rPr>
          <w:rFonts w:ascii="Times New Roman" w:hAnsi="Times New Roman" w:cs="Times New Roman"/>
          <w:sz w:val="26"/>
          <w:szCs w:val="26"/>
        </w:rPr>
      </w:pPr>
    </w:p>
    <w:sectPr w:rsidR="00D61DCF" w:rsidRPr="0035136D"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B03"/>
    <w:rsid w:val="000A4B03"/>
    <w:rsid w:val="001C3441"/>
    <w:rsid w:val="00231EC8"/>
    <w:rsid w:val="0027592C"/>
    <w:rsid w:val="0035136D"/>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A7888-EA24-4B38-BE54-760685B2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4B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4B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33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2023-12-28T10:24:00Z</dcterms:created>
  <dcterms:modified xsi:type="dcterms:W3CDTF">2023-12-28T10:25:00Z</dcterms:modified>
</cp:coreProperties>
</file>