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25C62" w:rsidRPr="00D25C62" w:rsidRDefault="00D25C62" w:rsidP="00D25C6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
      <w:r w:rsidRPr="00D25C62">
        <w:rPr>
          <w:rFonts w:ascii="Arial" w:eastAsia="Times New Roman" w:hAnsi="Arial" w:cs="Arial"/>
          <w:b/>
          <w:bCs/>
          <w:color w:val="000000"/>
          <w:kern w:val="0"/>
          <w:szCs w:val="24"/>
          <w14:ligatures w14:val="none"/>
        </w:rPr>
        <w:t>PHỤ LỤC</w:t>
      </w:r>
      <w:bookmarkEnd w:id="0"/>
    </w:p>
    <w:p w:rsidR="00D25C62" w:rsidRPr="00D25C62" w:rsidRDefault="00D25C62" w:rsidP="00D25C6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name"/>
      <w:r w:rsidRPr="00D25C62">
        <w:rPr>
          <w:rFonts w:ascii="Arial" w:eastAsia="Times New Roman" w:hAnsi="Arial" w:cs="Arial"/>
          <w:color w:val="000000"/>
          <w:kern w:val="0"/>
          <w:sz w:val="18"/>
          <w:szCs w:val="18"/>
          <w14:ligatures w14:val="none"/>
        </w:rPr>
        <w:t>DỊCH VỤ XÃ HỘI CƠ BẢN, CHỈ SỐ ĐO LƯỜNG MỨC ĐỘ THIẾU HỤT DỊCH VỤ XÃ HỘI CƠ BẢN VÀ NGƯỠNG THIẾU HỤT TRONG CHUẨN NGHÈO ĐA CHIỀU GIAI ĐOẠN 2022 - 2025</w:t>
      </w:r>
      <w:bookmarkEnd w:id="1"/>
      <w:r w:rsidRPr="00D25C62">
        <w:rPr>
          <w:rFonts w:ascii="Arial" w:eastAsia="Times New Roman" w:hAnsi="Arial" w:cs="Arial"/>
          <w:color w:val="000000"/>
          <w:kern w:val="0"/>
          <w:sz w:val="18"/>
          <w:szCs w:val="18"/>
          <w14:ligatures w14:val="none"/>
        </w:rPr>
        <w:br/>
      </w:r>
      <w:r w:rsidRPr="00D25C62">
        <w:rPr>
          <w:rFonts w:ascii="Arial" w:eastAsia="Times New Roman" w:hAnsi="Arial" w:cs="Arial"/>
          <w:i/>
          <w:iCs/>
          <w:color w:val="000000"/>
          <w:kern w:val="0"/>
          <w:sz w:val="18"/>
          <w:szCs w:val="18"/>
          <w14:ligatures w14:val="none"/>
        </w:rPr>
        <w:t>(Ban hành kèm theo Nghị định số 07/2021/NĐ-CP ngày 27 tháng 01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7"/>
        <w:gridCol w:w="1646"/>
        <w:gridCol w:w="6309"/>
      </w:tblGrid>
      <w:tr w:rsidR="00D25C62" w:rsidRPr="00D25C62" w:rsidTr="00D25C62">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jc w:val="center"/>
              <w:rPr>
                <w:rFonts w:ascii="Arial" w:eastAsia="Times New Roman" w:hAnsi="Arial" w:cs="Arial"/>
                <w:color w:val="000000"/>
                <w:kern w:val="0"/>
                <w:sz w:val="18"/>
                <w:szCs w:val="18"/>
                <w14:ligatures w14:val="none"/>
              </w:rPr>
            </w:pPr>
            <w:r w:rsidRPr="00D25C62">
              <w:rPr>
                <w:rFonts w:ascii="Arial" w:eastAsia="Times New Roman" w:hAnsi="Arial" w:cs="Arial"/>
                <w:b/>
                <w:bCs/>
                <w:color w:val="000000"/>
                <w:kern w:val="0"/>
                <w:sz w:val="18"/>
                <w:szCs w:val="18"/>
                <w14:ligatures w14:val="none"/>
              </w:rPr>
              <w:t>Dịch vụ xã hội cơ bản</w:t>
            </w:r>
          </w:p>
          <w:p w:rsidR="00D25C62" w:rsidRPr="00D25C62" w:rsidRDefault="00D25C62" w:rsidP="00D25C62">
            <w:pPr>
              <w:spacing w:before="120" w:after="120" w:line="234" w:lineRule="atLeast"/>
              <w:jc w:val="center"/>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(Chiều thiếu hụt)</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jc w:val="center"/>
              <w:rPr>
                <w:rFonts w:ascii="Arial" w:eastAsia="Times New Roman" w:hAnsi="Arial" w:cs="Arial"/>
                <w:color w:val="000000"/>
                <w:kern w:val="0"/>
                <w:sz w:val="18"/>
                <w:szCs w:val="18"/>
                <w14:ligatures w14:val="none"/>
              </w:rPr>
            </w:pPr>
            <w:r w:rsidRPr="00D25C62">
              <w:rPr>
                <w:rFonts w:ascii="Arial" w:eastAsia="Times New Roman" w:hAnsi="Arial" w:cs="Arial"/>
                <w:b/>
                <w:bCs/>
                <w:color w:val="000000"/>
                <w:kern w:val="0"/>
                <w:sz w:val="18"/>
                <w:szCs w:val="18"/>
                <w14:ligatures w14:val="none"/>
              </w:rPr>
              <w:t>Chỉ số đo lường mức độ thiếu hụt dịch vụ xã hội cơ bản</w:t>
            </w:r>
          </w:p>
        </w:tc>
        <w:tc>
          <w:tcPr>
            <w:tcW w:w="3450" w:type="pct"/>
            <w:tcBorders>
              <w:top w:val="single" w:sz="8" w:space="0" w:color="auto"/>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jc w:val="center"/>
              <w:rPr>
                <w:rFonts w:ascii="Arial" w:eastAsia="Times New Roman" w:hAnsi="Arial" w:cs="Arial"/>
                <w:color w:val="000000"/>
                <w:kern w:val="0"/>
                <w:sz w:val="18"/>
                <w:szCs w:val="18"/>
                <w14:ligatures w14:val="none"/>
              </w:rPr>
            </w:pPr>
            <w:r w:rsidRPr="00D25C62">
              <w:rPr>
                <w:rFonts w:ascii="Arial" w:eastAsia="Times New Roman" w:hAnsi="Arial" w:cs="Arial"/>
                <w:b/>
                <w:bCs/>
                <w:color w:val="000000"/>
                <w:kern w:val="0"/>
                <w:sz w:val="18"/>
                <w:szCs w:val="18"/>
                <w14:ligatures w14:val="none"/>
              </w:rPr>
              <w:t>Ngưỡng thiếu hụt</w:t>
            </w:r>
          </w:p>
        </w:tc>
      </w:tr>
      <w:tr w:rsidR="00D25C62" w:rsidRPr="00D25C62" w:rsidTr="00D25C62">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1. Việc làm</w:t>
            </w: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Việc làm</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có ít nhất một người không có việc làm (người trong độ tuổi lao động có khả năng lao động, sẵn sàng/mong muốn làm việc nhưng không tìm được việc làm); hoặc có việc làm công ăn lương nhưng không có hợp đồng lao động*.</w:t>
            </w:r>
          </w:p>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 Xem xét cho việc làm thường xuyên, đều đặn, mang tính chất ổn định hoặc tương đối ổn định.</w:t>
            </w:r>
          </w:p>
        </w:tc>
      </w:tr>
      <w:tr w:rsidR="00D25C62" w:rsidRPr="00D25C62" w:rsidTr="00D25C6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C62" w:rsidRPr="00D25C62" w:rsidRDefault="00D25C62" w:rsidP="00D25C62">
            <w:pPr>
              <w:spacing w:after="0" w:line="240" w:lineRule="auto"/>
              <w:rPr>
                <w:rFonts w:ascii="Arial" w:eastAsia="Times New Roman" w:hAnsi="Arial" w:cs="Arial"/>
                <w:color w:val="000000"/>
                <w:kern w:val="0"/>
                <w:sz w:val="18"/>
                <w:szCs w:val="18"/>
                <w14:ligatures w14:val="none"/>
              </w:rPr>
            </w:pP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Người phụ thuộc trong hộ gia đình</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có tỷ lệ người phụ thuộc trong tổng số nhân khẩu lớn hơn 50%. Người phụ thuộc bao gồm: trẻ em dưới 16 tuổi; người cao tuổi hoặc người khuyết tật đang hưởng trợ cấp xã hội hằng tháng.</w:t>
            </w:r>
          </w:p>
        </w:tc>
      </w:tr>
      <w:tr w:rsidR="00D25C62" w:rsidRPr="00D25C62" w:rsidTr="00D25C62">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2. Y tế</w:t>
            </w: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Dinh dưỡng</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có ít nhất một trẻ em dưới 16 tuổi suy dinh dưỡng chiều cao theo tuổi hoặc suy dinh dưỡng cân nặng theo tuổi.</w:t>
            </w:r>
          </w:p>
        </w:tc>
      </w:tr>
      <w:tr w:rsidR="00D25C62" w:rsidRPr="00D25C62" w:rsidTr="00D25C6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C62" w:rsidRPr="00D25C62" w:rsidRDefault="00D25C62" w:rsidP="00D25C62">
            <w:pPr>
              <w:spacing w:after="0" w:line="240" w:lineRule="auto"/>
              <w:rPr>
                <w:rFonts w:ascii="Arial" w:eastAsia="Times New Roman" w:hAnsi="Arial" w:cs="Arial"/>
                <w:color w:val="000000"/>
                <w:kern w:val="0"/>
                <w:sz w:val="18"/>
                <w:szCs w:val="18"/>
                <w14:ligatures w14:val="none"/>
              </w:rPr>
            </w:pP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Bảo hiểm y tế</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có ít nhất một người từ đủ 6 tuổi trở lên hiện không có bảo hiểm y tế.</w:t>
            </w:r>
          </w:p>
        </w:tc>
      </w:tr>
      <w:tr w:rsidR="00D25C62" w:rsidRPr="00D25C62" w:rsidTr="00D25C62">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3. Giáo dục</w:t>
            </w: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Trình độ giáo dục của người lớn</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có ít nhất một người trong độ tuổi từ 16 tuổi đến 30 tuổi không tham gia các khóa đào tạo hoặc không có bằng cấp, chứng chỉ giáo dục đào tạo so với độ tuổi tương ứng [Người từ 16 tuổi đến dưới 18 tuổi đang học hoặc đã tốt nghiệp trung học cơ sở; từ 18 tuổi đến 30 tuổi đang học hoặc đã tốt nghiệp trung học phổ thông hoặc sơ cấp/trung cấp/cao đẳng nghề; hoặc người từ 16 tuổi đến 30 tuổi được doanh nghiệp tuyển dụng và chứng nhận đào tạo nghề tại chỗ (hình thức vừa học vừa làm)].</w:t>
            </w:r>
          </w:p>
        </w:tc>
      </w:tr>
      <w:tr w:rsidR="00D25C62" w:rsidRPr="00D25C62" w:rsidTr="00D25C6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C62" w:rsidRPr="00D25C62" w:rsidRDefault="00D25C62" w:rsidP="00D25C62">
            <w:pPr>
              <w:spacing w:after="0" w:line="240" w:lineRule="auto"/>
              <w:rPr>
                <w:rFonts w:ascii="Arial" w:eastAsia="Times New Roman" w:hAnsi="Arial" w:cs="Arial"/>
                <w:color w:val="000000"/>
                <w:kern w:val="0"/>
                <w:sz w:val="18"/>
                <w:szCs w:val="18"/>
                <w14:ligatures w14:val="none"/>
              </w:rPr>
            </w:pP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Tình trạng đi học của trẻ em</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có ít nhất 1 trẻ em từ 3 tuổi đến dưới 16 tuổi không được học đúng bậc, cấp học phù hợp với độ tuổi (trẻ từ 3 tuổi đến dưới 6 tuổi được tiếp cận giáo dục mầm non, trẻ từ 6 tuổi đến dưới 12 tuổi được tiếp cận giáo dục tiểu học và trẻ từ 12 tuổi đến dưới 16 tuổi được tiếp cận giáo dục trung học cơ sở).</w:t>
            </w:r>
          </w:p>
        </w:tc>
      </w:tr>
      <w:tr w:rsidR="00D25C62" w:rsidRPr="00D25C62" w:rsidTr="00D25C62">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4. Nhà ở</w:t>
            </w: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Chất lượng nhà ở</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đang sống trong ngôi nhà/căn hộ thuộc loại không bền chắc (trong ba kết cấu chính là tường, cột, mái thì có ít nhất hai kết cấu được làm bằng vật liệu không bền chắc).</w:t>
            </w:r>
          </w:p>
        </w:tc>
      </w:tr>
      <w:tr w:rsidR="00D25C62" w:rsidRPr="00D25C62" w:rsidTr="00D25C6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C62" w:rsidRPr="00D25C62" w:rsidRDefault="00D25C62" w:rsidP="00D25C62">
            <w:pPr>
              <w:spacing w:after="0" w:line="240" w:lineRule="auto"/>
              <w:rPr>
                <w:rFonts w:ascii="Arial" w:eastAsia="Times New Roman" w:hAnsi="Arial" w:cs="Arial"/>
                <w:color w:val="000000"/>
                <w:kern w:val="0"/>
                <w:sz w:val="18"/>
                <w:szCs w:val="18"/>
                <w14:ligatures w14:val="none"/>
              </w:rPr>
            </w:pP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Diện tích nhà ở bình quân đầu người</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Diện tích nhà ở bình quân đầu người của hộ gia đình nhỏ hơn 8m</w:t>
            </w:r>
            <w:r w:rsidRPr="00D25C62">
              <w:rPr>
                <w:rFonts w:ascii="Arial" w:eastAsia="Times New Roman" w:hAnsi="Arial" w:cs="Arial"/>
                <w:color w:val="000000"/>
                <w:kern w:val="0"/>
                <w:sz w:val="18"/>
                <w:szCs w:val="18"/>
                <w:vertAlign w:val="superscript"/>
                <w14:ligatures w14:val="none"/>
              </w:rPr>
              <w:t>2</w:t>
            </w:r>
            <w:r w:rsidRPr="00D25C62">
              <w:rPr>
                <w:rFonts w:ascii="Arial" w:eastAsia="Times New Roman" w:hAnsi="Arial" w:cs="Arial"/>
                <w:color w:val="000000"/>
                <w:kern w:val="0"/>
                <w:sz w:val="18"/>
                <w:szCs w:val="18"/>
                <w14:ligatures w14:val="none"/>
              </w:rPr>
              <w:t>.</w:t>
            </w:r>
          </w:p>
        </w:tc>
      </w:tr>
      <w:tr w:rsidR="00D25C62" w:rsidRPr="00D25C62" w:rsidTr="00D25C62">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5. Nước sinh hoạt và vệ sinh</w:t>
            </w: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Nguồn nước sinh hoạt</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không tiếp cận được nguồn nước sạch trong sinh hoạt (gồm: nước máy, giếng khoan, giếng đào được bảo vệ, nước khe/mó được bảo vệ và nước mưa, nước đóng chai bình).</w:t>
            </w:r>
          </w:p>
        </w:tc>
      </w:tr>
      <w:tr w:rsidR="00D25C62" w:rsidRPr="00D25C62" w:rsidTr="00D25C6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C62" w:rsidRPr="00D25C62" w:rsidRDefault="00D25C62" w:rsidP="00D25C62">
            <w:pPr>
              <w:spacing w:after="0" w:line="240" w:lineRule="auto"/>
              <w:rPr>
                <w:rFonts w:ascii="Arial" w:eastAsia="Times New Roman" w:hAnsi="Arial" w:cs="Arial"/>
                <w:color w:val="000000"/>
                <w:kern w:val="0"/>
                <w:sz w:val="18"/>
                <w:szCs w:val="18"/>
                <w14:ligatures w14:val="none"/>
              </w:rPr>
            </w:pP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Nhà tiêu hợp vệ sinh</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không sử dụng hố xí/nhà tiêu hợp vệ sinh (gồm: tự hoại/bán tự hoại, thấm dội nước (Suilabh), cải tiến có ống thông hơi (VIP), hố xí đào có bệ ngồi, hai ngăn).</w:t>
            </w:r>
          </w:p>
        </w:tc>
      </w:tr>
      <w:tr w:rsidR="00D25C62" w:rsidRPr="00D25C62" w:rsidTr="00D25C62">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6. Thông tin</w:t>
            </w: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Sử dụng dịch vụ viễn thông</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không có thành viên nào sử dụng dịch vụ internet.</w:t>
            </w:r>
          </w:p>
        </w:tc>
      </w:tr>
      <w:tr w:rsidR="00D25C62" w:rsidRPr="00D25C62" w:rsidTr="00D25C6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25C62" w:rsidRPr="00D25C62" w:rsidRDefault="00D25C62" w:rsidP="00D25C62">
            <w:pPr>
              <w:spacing w:after="0" w:line="240" w:lineRule="auto"/>
              <w:rPr>
                <w:rFonts w:ascii="Arial" w:eastAsia="Times New Roman" w:hAnsi="Arial" w:cs="Arial"/>
                <w:color w:val="000000"/>
                <w:kern w:val="0"/>
                <w:sz w:val="18"/>
                <w:szCs w:val="18"/>
                <w14:ligatures w14:val="none"/>
              </w:rPr>
            </w:pPr>
          </w:p>
        </w:tc>
        <w:tc>
          <w:tcPr>
            <w:tcW w:w="90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Phương tiện phục vụ tiếp cận thông tin</w:t>
            </w:r>
          </w:p>
        </w:tc>
        <w:tc>
          <w:tcPr>
            <w:tcW w:w="3450" w:type="pct"/>
            <w:tcBorders>
              <w:top w:val="nil"/>
              <w:left w:val="nil"/>
              <w:bottom w:val="single" w:sz="8" w:space="0" w:color="auto"/>
              <w:right w:val="single" w:sz="8" w:space="0" w:color="auto"/>
            </w:tcBorders>
            <w:shd w:val="clear" w:color="auto" w:fill="auto"/>
            <w:vAlign w:val="center"/>
            <w:hideMark/>
          </w:tcPr>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Hộ gia đình không có phương tiện nào trong số các phương tiện phục vụ tiếp cận thông tin:</w:t>
            </w:r>
          </w:p>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 Phương tiện dùng chung: Tivi, radio, máy tính để bàn, điện thoại;</w:t>
            </w:r>
          </w:p>
          <w:p w:rsidR="00D25C62" w:rsidRPr="00D25C62" w:rsidRDefault="00D25C62" w:rsidP="00D25C62">
            <w:pPr>
              <w:spacing w:before="120" w:after="120" w:line="234" w:lineRule="atLeast"/>
              <w:rPr>
                <w:rFonts w:ascii="Arial" w:eastAsia="Times New Roman" w:hAnsi="Arial" w:cs="Arial"/>
                <w:color w:val="000000"/>
                <w:kern w:val="0"/>
                <w:sz w:val="18"/>
                <w:szCs w:val="18"/>
                <w14:ligatures w14:val="none"/>
              </w:rPr>
            </w:pPr>
            <w:r w:rsidRPr="00D25C62">
              <w:rPr>
                <w:rFonts w:ascii="Arial" w:eastAsia="Times New Roman" w:hAnsi="Arial" w:cs="Arial"/>
                <w:color w:val="000000"/>
                <w:kern w:val="0"/>
                <w:sz w:val="18"/>
                <w:szCs w:val="18"/>
                <w14:ligatures w14:val="none"/>
              </w:rPr>
              <w:t>- Phương tiện cá nhân: Máy tính xách tay, máy tính bảng, điện thoại thông minh.</w:t>
            </w:r>
          </w:p>
        </w:tc>
      </w:tr>
    </w:tbl>
    <w:p w:rsidR="00F7487B" w:rsidRDefault="00F7487B"/>
    <w:sectPr w:rsidR="00F7487B" w:rsidSect="00A67D6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62"/>
    <w:rsid w:val="00804912"/>
    <w:rsid w:val="00A67D69"/>
    <w:rsid w:val="00D25C62"/>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168F3-DDCF-4A1F-888E-91712D2F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C62"/>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2024-05-02T01:46:00Z</dcterms:created>
  <dcterms:modified xsi:type="dcterms:W3CDTF">2024-05-02T01:47:00Z</dcterms:modified>
</cp:coreProperties>
</file>