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F8" w:rsidRDefault="002306F8" w:rsidP="002306F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5"/>
      <w:r>
        <w:rPr>
          <w:rFonts w:ascii="Arial" w:hAnsi="Arial" w:cs="Arial"/>
          <w:b/>
          <w:bCs/>
          <w:color w:val="000000"/>
          <w:sz w:val="18"/>
          <w:szCs w:val="18"/>
          <w:lang w:val="vi-VN"/>
        </w:rPr>
        <w:t>PHỤ LỤC V</w:t>
      </w:r>
      <w:bookmarkEnd w:id="0"/>
    </w:p>
    <w:p w:rsidR="002306F8" w:rsidRDefault="002306F8" w:rsidP="002306F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5_name"/>
      <w:r>
        <w:rPr>
          <w:rFonts w:ascii="Arial" w:hAnsi="Arial" w:cs="Arial"/>
          <w:color w:val="000000"/>
          <w:sz w:val="20"/>
          <w:szCs w:val="20"/>
          <w:lang w:val="vi-VN"/>
        </w:rPr>
        <w:t>DANH MỤC DỰ ÁN, CÔNG TRÌNH, PHƯƠNG TIỆN GIAO THÔNG CƠ GIỚI THUỘC DIỆN THẨM DUYỆT THIẾT KẾ VỀ PHÒNG CHÁY VÀ CHỮA CHÁY</w:t>
      </w:r>
      <w:bookmarkEnd w:id="1"/>
      <w:r>
        <w:rPr>
          <w:rFonts w:ascii="Arial" w:hAnsi="Arial" w:cs="Arial"/>
          <w:color w:val="000000"/>
          <w:sz w:val="20"/>
          <w:szCs w:val="20"/>
          <w:lang w:val="vi-VN"/>
        </w:rPr>
        <w:br/>
      </w:r>
      <w:r>
        <w:rPr>
          <w:rFonts w:ascii="Arial" w:hAnsi="Arial" w:cs="Arial"/>
          <w:i/>
          <w:iCs/>
          <w:color w:val="000000"/>
          <w:sz w:val="20"/>
          <w:szCs w:val="20"/>
          <w:lang w:val="vi-VN"/>
        </w:rPr>
        <w:t>(Kèm theo Nghị định số: 136/2020/NĐ-CP ngày 24 tháng 11 năm 2020 của Chính phủ)</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Trụ sở cơ quan nhà nước các cấp cao từ 7 tầng trở lên hoặc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Nhà chung cư, nhà tập thể, nhà ở ký túc xá cao 7 tầng trở lên hoặc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 nhà hỗn hợp cao từ 7 tầng trở lên hoặc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3. Nhà trẻ, trường mẫu giáo, mầm non có từ 100 cháu trở lên hoặc có tổng khối tích 3.000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 trường tiểu học, trung học cơ sở, trung học phổ thông, trường phổ thông có nhiều cấp học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 trường cao đẳng, đại học, học viện, trường trung cấp chuyên nghiệp, trường dạy nghề, cơ sở giáo dục thường xuyên, cơ sở giáo dục khác được thành lập theo </w:t>
      </w:r>
      <w:bookmarkStart w:id="2" w:name="tvpllink_fdanjboppw_4"/>
      <w:r>
        <w:rPr>
          <w:rFonts w:ascii="Arial" w:hAnsi="Arial" w:cs="Arial"/>
          <w:color w:val="000000"/>
          <w:sz w:val="20"/>
          <w:szCs w:val="20"/>
          <w:lang w:val="vi-VN"/>
        </w:rPr>
        <w:fldChar w:fldCharType="begin"/>
      </w:r>
      <w:r>
        <w:rPr>
          <w:rFonts w:ascii="Arial" w:hAnsi="Arial" w:cs="Arial"/>
          <w:color w:val="000000"/>
          <w:sz w:val="20"/>
          <w:szCs w:val="20"/>
          <w:lang w:val="vi-VN"/>
        </w:rPr>
        <w:instrText xml:space="preserve"> HYPERLINK "https://thuvienphapluat.vn/van-ban/Giao-duc/Luat-giao-duc-2019-367665.aspx" \t "_blank" </w:instrText>
      </w:r>
      <w:r>
        <w:rPr>
          <w:rFonts w:ascii="Arial" w:hAnsi="Arial" w:cs="Arial"/>
          <w:color w:val="000000"/>
          <w:sz w:val="20"/>
          <w:szCs w:val="20"/>
          <w:lang w:val="vi-VN"/>
        </w:rPr>
        <w:fldChar w:fldCharType="separate"/>
      </w:r>
      <w:r>
        <w:rPr>
          <w:rStyle w:val="Hyperlink"/>
          <w:rFonts w:ascii="Arial" w:hAnsi="Arial" w:cs="Arial"/>
          <w:color w:val="0E70C3"/>
          <w:sz w:val="20"/>
          <w:szCs w:val="20"/>
          <w:u w:val="none"/>
          <w:lang w:val="vi-VN"/>
        </w:rPr>
        <w:t>Luật Giáo dục</w:t>
      </w:r>
      <w:r>
        <w:rPr>
          <w:rFonts w:ascii="Arial" w:hAnsi="Arial" w:cs="Arial"/>
          <w:color w:val="000000"/>
          <w:sz w:val="20"/>
          <w:szCs w:val="20"/>
          <w:lang w:val="vi-VN"/>
        </w:rPr>
        <w:fldChar w:fldCharType="end"/>
      </w:r>
      <w:bookmarkEnd w:id="2"/>
      <w:r>
        <w:rPr>
          <w:rFonts w:ascii="Arial" w:hAnsi="Arial" w:cs="Arial"/>
          <w:color w:val="000000"/>
          <w:sz w:val="20"/>
          <w:szCs w:val="20"/>
          <w:lang w:val="vi-VN"/>
        </w:rPr>
        <w:t> cao từ 5 tầng trở lên hoặc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4. Bệnh viện; phòng khám đa khoa, khám chuyên khoa, nhà điều dưỡng, phục hồi chức năng, chỉnh hình, nhà dưỡng lão, cơ sở phòng chống dịch bệnh, trung tâm y tế, cơ sở y tế khác được thành lập theo </w:t>
      </w:r>
      <w:bookmarkStart w:id="3" w:name="tvpllink_hktouaoflp_4"/>
      <w:r>
        <w:rPr>
          <w:rFonts w:ascii="Arial" w:hAnsi="Arial" w:cs="Arial"/>
          <w:color w:val="000000"/>
          <w:sz w:val="20"/>
          <w:szCs w:val="20"/>
          <w:lang w:val="vi-VN"/>
        </w:rPr>
        <w:fldChar w:fldCharType="begin"/>
      </w:r>
      <w:r>
        <w:rPr>
          <w:rFonts w:ascii="Arial" w:hAnsi="Arial" w:cs="Arial"/>
          <w:color w:val="000000"/>
          <w:sz w:val="20"/>
          <w:szCs w:val="20"/>
          <w:lang w:val="vi-VN"/>
        </w:rPr>
        <w:instrText xml:space="preserve"> HYPERLINK "https://thuvienphapluat.vn/van-ban/The-thao-Y-te/Luat-kham-benh-chua-benh-nam-2009-98714.aspx" \t "_blank" </w:instrText>
      </w:r>
      <w:r>
        <w:rPr>
          <w:rFonts w:ascii="Arial" w:hAnsi="Arial" w:cs="Arial"/>
          <w:color w:val="000000"/>
          <w:sz w:val="20"/>
          <w:szCs w:val="20"/>
          <w:lang w:val="vi-VN"/>
        </w:rPr>
        <w:fldChar w:fldCharType="separate"/>
      </w:r>
      <w:r>
        <w:rPr>
          <w:rStyle w:val="Hyperlink"/>
          <w:rFonts w:ascii="Arial" w:hAnsi="Arial" w:cs="Arial"/>
          <w:color w:val="0E70C3"/>
          <w:sz w:val="20"/>
          <w:szCs w:val="20"/>
          <w:u w:val="none"/>
          <w:lang w:val="vi-VN"/>
        </w:rPr>
        <w:t>Luật Khám bệnh, chữa bệnh</w:t>
      </w:r>
      <w:r>
        <w:rPr>
          <w:rFonts w:ascii="Arial" w:hAnsi="Arial" w:cs="Arial"/>
          <w:color w:val="000000"/>
          <w:sz w:val="20"/>
          <w:szCs w:val="20"/>
          <w:lang w:val="vi-VN"/>
        </w:rPr>
        <w:fldChar w:fldCharType="end"/>
      </w:r>
      <w:bookmarkEnd w:id="3"/>
      <w:r>
        <w:rPr>
          <w:rFonts w:ascii="Arial" w:hAnsi="Arial" w:cs="Arial"/>
          <w:color w:val="000000"/>
          <w:sz w:val="20"/>
          <w:szCs w:val="20"/>
          <w:lang w:val="vi-VN"/>
        </w:rPr>
        <w:t> cao từ 5 tầng trở lên hoặc có tổng khối tích từ 3.000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5. Nhà hát, rạp chiếu phim, rạp xiếc có từ 300 chỗ ngồi trở lên; trung tâm hội nghị, tổ chức sự kiện cao từ 5 tầng trở lên hoặc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 nhà văn hóa, cơ sở kinh doanh dịch vụ karaoke, vũ trường, quán bar, câu lạc bộ, thẩm mỹ viện, kinh doanh dịch vụ xoa bóp, công viên giải trí, vườn thú, thủy cung cao từ 3 tầng trở lên hoặc có tổng khối tích từ 1.500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6. Chợ, trung tâm thương mại, điện máy, siêu thị, cửa hàng bách hóa, cửa hàng tiện ích, nhà hàng, cửa hàng ăn uống có tổng khối tích từ 3.000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7. Khách sạn, nhà khách, nhà nghỉ, nhà trọ, cơ sở lưu trú khác được thành lập theo </w:t>
      </w:r>
      <w:bookmarkStart w:id="4" w:name="tvpllink_gwjshhbwvy_4"/>
      <w:r>
        <w:rPr>
          <w:rFonts w:ascii="Arial" w:hAnsi="Arial" w:cs="Arial"/>
          <w:color w:val="000000"/>
          <w:sz w:val="20"/>
          <w:szCs w:val="20"/>
          <w:lang w:val="vi-VN"/>
        </w:rPr>
        <w:fldChar w:fldCharType="begin"/>
      </w:r>
      <w:r>
        <w:rPr>
          <w:rFonts w:ascii="Arial" w:hAnsi="Arial" w:cs="Arial"/>
          <w:color w:val="000000"/>
          <w:sz w:val="20"/>
          <w:szCs w:val="20"/>
          <w:lang w:val="vi-VN"/>
        </w:rPr>
        <w:instrText xml:space="preserve"> HYPERLINK "https://thuvienphapluat.vn/van-ban/Van-hoa-Xa-hoi/Luat-du-lich-2017-322936.aspx" \t "_blank" </w:instrText>
      </w:r>
      <w:r>
        <w:rPr>
          <w:rFonts w:ascii="Arial" w:hAnsi="Arial" w:cs="Arial"/>
          <w:color w:val="000000"/>
          <w:sz w:val="20"/>
          <w:szCs w:val="20"/>
          <w:lang w:val="vi-VN"/>
        </w:rPr>
        <w:fldChar w:fldCharType="separate"/>
      </w:r>
      <w:r>
        <w:rPr>
          <w:rStyle w:val="Hyperlink"/>
          <w:rFonts w:ascii="Arial" w:hAnsi="Arial" w:cs="Arial"/>
          <w:color w:val="0E70C3"/>
          <w:sz w:val="20"/>
          <w:szCs w:val="20"/>
          <w:u w:val="none"/>
          <w:lang w:val="vi-VN"/>
        </w:rPr>
        <w:t>Luật Du lịch</w:t>
      </w:r>
      <w:r>
        <w:rPr>
          <w:rFonts w:ascii="Arial" w:hAnsi="Arial" w:cs="Arial"/>
          <w:color w:val="000000"/>
          <w:sz w:val="20"/>
          <w:szCs w:val="20"/>
          <w:lang w:val="vi-VN"/>
        </w:rPr>
        <w:fldChar w:fldCharType="end"/>
      </w:r>
      <w:bookmarkEnd w:id="4"/>
      <w:r>
        <w:rPr>
          <w:rFonts w:ascii="Arial" w:hAnsi="Arial" w:cs="Arial"/>
          <w:color w:val="000000"/>
          <w:sz w:val="20"/>
          <w:szCs w:val="20"/>
          <w:lang w:val="vi-VN"/>
        </w:rPr>
        <w:t> cao từ 7 tầng trở lên hoặc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8. Nhà làm việc của doanh nghiệp, tổ chức chính trị, xã hội cao từ 7 tầng trở lên hoặc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9. Bảo tàng, thư viện, triển lãm, nhà trưng bày, nhà lưu trữ, nhà sách, nhà hội chợ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10. Bưu điện, cơ sở truyền thanh, truyền hình, viễn thông, nhà lắp đặt thiết bị thông tin, trung tâm lưu trữ, quản lý dữ liệu cao từ 5 tầng trở lên hoặc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11. Sân vận động có sức chứa từ 5.000 chỗ ngồi trở lên; nhà thi đấu thể thao, cung thể thao trong nhà, trung tâm thể dục, thể thao, trường đua, trường bắn, cơ sở thể thao khác được thành lập theo </w:t>
      </w:r>
      <w:bookmarkStart w:id="5" w:name="tvpllink_utbkdjrmjy_4"/>
      <w:r>
        <w:rPr>
          <w:rFonts w:ascii="Arial" w:hAnsi="Arial" w:cs="Arial"/>
          <w:color w:val="000000"/>
          <w:sz w:val="20"/>
          <w:szCs w:val="20"/>
          <w:lang w:val="vi-VN"/>
        </w:rPr>
        <w:fldChar w:fldCharType="begin"/>
      </w:r>
      <w:r>
        <w:rPr>
          <w:rFonts w:ascii="Arial" w:hAnsi="Arial" w:cs="Arial"/>
          <w:color w:val="000000"/>
          <w:sz w:val="20"/>
          <w:szCs w:val="20"/>
          <w:lang w:val="vi-VN"/>
        </w:rPr>
        <w:instrText xml:space="preserve"> HYPERLINK "https://thuvienphapluat.vn/van-ban/The-thao-Y-te/Luat-The-duc-The-thao-2006-77-2006-QH11-15870.aspx" \t "_blank" </w:instrText>
      </w:r>
      <w:r>
        <w:rPr>
          <w:rFonts w:ascii="Arial" w:hAnsi="Arial" w:cs="Arial"/>
          <w:color w:val="000000"/>
          <w:sz w:val="20"/>
          <w:szCs w:val="20"/>
          <w:lang w:val="vi-VN"/>
        </w:rPr>
        <w:fldChar w:fldCharType="separate"/>
      </w:r>
      <w:r>
        <w:rPr>
          <w:rStyle w:val="Hyperlink"/>
          <w:rFonts w:ascii="Arial" w:hAnsi="Arial" w:cs="Arial"/>
          <w:color w:val="0E70C3"/>
          <w:sz w:val="20"/>
          <w:szCs w:val="20"/>
          <w:u w:val="none"/>
          <w:lang w:val="vi-VN"/>
        </w:rPr>
        <w:t>Luật Thể dục, thể thao</w:t>
      </w:r>
      <w:r>
        <w:rPr>
          <w:rFonts w:ascii="Arial" w:hAnsi="Arial" w:cs="Arial"/>
          <w:color w:val="000000"/>
          <w:sz w:val="20"/>
          <w:szCs w:val="20"/>
          <w:lang w:val="vi-VN"/>
        </w:rPr>
        <w:fldChar w:fldCharType="end"/>
      </w:r>
      <w:bookmarkEnd w:id="5"/>
      <w:r>
        <w:rPr>
          <w:rFonts w:ascii="Arial" w:hAnsi="Arial" w:cs="Arial"/>
          <w:color w:val="000000"/>
          <w:sz w:val="20"/>
          <w:szCs w:val="20"/>
          <w:lang w:val="vi-VN"/>
        </w:rPr>
        <w:t> có sức chứa từ 5.000 chỗ ngồi trở lên hoặc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12. Cảng hàng không; đài kiểm soát không lưu; bến cảng biển; cảng cạn; cảng thủy nội địa; nhà chờ bến xe ô tô, nhà ga đường sắt, nhà chờ cáp treo vận chuyển người, trạm dừng nghỉ có tổng khối tích từ 1.500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 công trình tàu điện ngầm; cơ sở đăng kiểm phương tiện giao thông cơ giới, cửa hàng kinh doanh, sửa chữa, bảo dưỡng ô tô, mô tô, xe gắn máy có diện tích kinh doanh từ 500 m</w:t>
      </w:r>
      <w:r>
        <w:rPr>
          <w:rFonts w:ascii="Arial" w:hAnsi="Arial" w:cs="Arial"/>
          <w:color w:val="000000"/>
          <w:sz w:val="20"/>
          <w:szCs w:val="20"/>
          <w:vertAlign w:val="superscript"/>
          <w:lang w:val="vi-VN"/>
        </w:rPr>
        <w:t>2</w:t>
      </w:r>
      <w:r>
        <w:rPr>
          <w:rFonts w:ascii="Arial" w:hAnsi="Arial" w:cs="Arial"/>
          <w:color w:val="000000"/>
          <w:sz w:val="20"/>
          <w:szCs w:val="20"/>
          <w:lang w:val="vi-VN"/>
        </w:rPr>
        <w:t> trở lên hoặc có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13. Gara để xe ô tô trong nhà có tổng khối tích từ 3.000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14. Hầm đường bộ có chiều dài từ 500 m trở lên; hầm đường sắt có chiều dài từ 1.000 m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15. Cơ sở hạt nhân; cơ sở sản xuất, kinh doanh, bảo quản, vật liệu nổ công nghiệp và tiền chất thuốc nổ; kho vật liệu nổ công nghiệp, tiền chất thuốc nổ; cảng xuất, nhập vật liệu nổ công nghiệp, tiền chất thuốc nổ; kho vũ khí, công cụ hỗ trợ.</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16. 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trạm cấp xăng dầu nội bộ có từ 01 cột bơm trở lên; cơ sở kinh doanh khí đốt, hệ thống cấp khí đốt trung tâm có tổng lượng khí tồn chứa từ 200 kg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17. Cơ sở công nghiệp có hạng nguy hiểm cháy, nổ A, B có tổng khối tích từ 1.500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 hạng nguy hiểm cháy, nổ C, D, E có tổng khối tích từ 5.000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18. Nhà máy điện; trạm biến áp có điện áp từ 110 kV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19. Hầm có hoạt động sản xuất, bảo quản, sử dụng chất cháy, nổ và có tổng khối tích từ 1.000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 Nhà kho hàng hóa, vật tư cháy được hoặc có bao bì cháy được có tổng khối tích từ 3.000 m</w:t>
      </w:r>
      <w:r>
        <w:rPr>
          <w:rFonts w:ascii="Arial" w:hAnsi="Arial" w:cs="Arial"/>
          <w:color w:val="000000"/>
          <w:sz w:val="20"/>
          <w:szCs w:val="20"/>
          <w:vertAlign w:val="superscript"/>
          <w:lang w:val="vi-VN"/>
        </w:rPr>
        <w:t>3</w:t>
      </w:r>
      <w:r>
        <w:rPr>
          <w:rFonts w:ascii="Arial" w:hAnsi="Arial" w:cs="Arial"/>
          <w:color w:val="000000"/>
          <w:sz w:val="20"/>
          <w:szCs w:val="20"/>
          <w:lang w:val="vi-VN"/>
        </w:rPr>
        <w:t> trở lên.</w:t>
      </w:r>
    </w:p>
    <w:p w:rsidR="002306F8" w:rsidRDefault="002306F8" w:rsidP="002306F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20. Công trình hạ tầng kỹ thuật có liên quan đến phòng cháy và chữa cháy của đô thị, khu kinh tế, khu công nghiệp, cụm công nghiệp, khu chế xuất, khu công nghệ cao và các khu chức năng khác theo </w:t>
      </w:r>
      <w:bookmarkStart w:id="6" w:name="tvpllink_cgduxnizie_4"/>
      <w:r>
        <w:rPr>
          <w:rFonts w:ascii="Arial" w:hAnsi="Arial" w:cs="Arial"/>
          <w:color w:val="000000"/>
          <w:sz w:val="20"/>
          <w:szCs w:val="20"/>
          <w:lang w:val="vi-VN"/>
        </w:rPr>
        <w:fldChar w:fldCharType="begin"/>
      </w:r>
      <w:r>
        <w:rPr>
          <w:rFonts w:ascii="Arial" w:hAnsi="Arial" w:cs="Arial"/>
          <w:color w:val="000000"/>
          <w:sz w:val="20"/>
          <w:szCs w:val="20"/>
          <w:lang w:val="vi-VN"/>
        </w:rPr>
        <w:instrText xml:space="preserve"> HYPERLINK "https://thuvienphapluat.vn/van-ban/Xay-dung-Do-thi/Luat-quy-hoach-322935.aspx" \t "_blank" </w:instrText>
      </w:r>
      <w:r>
        <w:rPr>
          <w:rFonts w:ascii="Arial" w:hAnsi="Arial" w:cs="Arial"/>
          <w:color w:val="000000"/>
          <w:sz w:val="20"/>
          <w:szCs w:val="20"/>
          <w:lang w:val="vi-VN"/>
        </w:rPr>
        <w:fldChar w:fldCharType="separate"/>
      </w:r>
      <w:r>
        <w:rPr>
          <w:rStyle w:val="Hyperlink"/>
          <w:rFonts w:ascii="Arial" w:hAnsi="Arial" w:cs="Arial"/>
          <w:color w:val="0E70C3"/>
          <w:sz w:val="20"/>
          <w:szCs w:val="20"/>
          <w:u w:val="none"/>
          <w:lang w:val="vi-VN"/>
        </w:rPr>
        <w:t>Luật Quy hoạch</w:t>
      </w:r>
      <w:r>
        <w:rPr>
          <w:rFonts w:ascii="Arial" w:hAnsi="Arial" w:cs="Arial"/>
          <w:color w:val="000000"/>
          <w:sz w:val="20"/>
          <w:szCs w:val="20"/>
          <w:lang w:val="vi-VN"/>
        </w:rPr>
        <w:fldChar w:fldCharType="end"/>
      </w:r>
      <w:bookmarkEnd w:id="6"/>
      <w:r>
        <w:rPr>
          <w:rFonts w:ascii="Arial" w:hAnsi="Arial" w:cs="Arial"/>
          <w:color w:val="000000"/>
          <w:sz w:val="20"/>
          <w:szCs w:val="20"/>
          <w:lang w:val="vi-VN"/>
        </w:rPr>
        <w:t> thuộc thẩm quyền phê duyệt của cấp huyện trở lên.</w:t>
      </w:r>
    </w:p>
    <w:p w:rsidR="002306F8" w:rsidRDefault="002306F8" w:rsidP="002306F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21. Phương tiện giao thông cơ giới có yêu cầu đặc biệt về bảo đảm an toàn phòng cháy và chữa cháy: Phương tiện giao thông đường sắt, phương tiện đường thủy có chiều dài từ 20 m trở lên vận chuyển hành khách, vận chuyển xăng, dầu, chất lỏng dễ cháy, khí cháy, vật liệu nổ, hóa chất có nguy hiểm về cháy, nổ./.</w:t>
      </w:r>
    </w:p>
    <w:p w:rsidR="00EE71DD" w:rsidRDefault="00EE71DD">
      <w:bookmarkStart w:id="7" w:name="_GoBack"/>
      <w:bookmarkEnd w:id="7"/>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F8"/>
    <w:rsid w:val="002022F8"/>
    <w:rsid w:val="002306F8"/>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DFA1A-AE73-486F-8DA1-C5BAB3F2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6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2024-05-15T08:16:00Z</dcterms:created>
  <dcterms:modified xsi:type="dcterms:W3CDTF">2024-05-15T08:17:00Z</dcterms:modified>
</cp:coreProperties>
</file>