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EC" w:rsidRPr="00112DEC" w:rsidRDefault="00112DEC" w:rsidP="00112DEC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>Phân</w:t>
      </w:r>
      <w:proofErr w:type="spellEnd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>biệt</w:t>
      </w:r>
      <w:proofErr w:type="spellEnd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>thẻ</w:t>
      </w:r>
      <w:proofErr w:type="spellEnd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>ghi</w:t>
      </w:r>
      <w:proofErr w:type="spellEnd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>nợ</w:t>
      </w:r>
      <w:proofErr w:type="spellEnd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>và</w:t>
      </w:r>
      <w:proofErr w:type="spellEnd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>thẻ</w:t>
      </w:r>
      <w:proofErr w:type="spellEnd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>tín</w:t>
      </w:r>
      <w:proofErr w:type="spellEnd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>dụng</w:t>
      </w:r>
      <w:proofErr w:type="spellEnd"/>
      <w:r w:rsidRPr="00112DEC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</w:rPr>
        <w:t>?</w:t>
      </w:r>
    </w:p>
    <w:p w:rsidR="00112DEC" w:rsidRPr="00112DEC" w:rsidRDefault="00112DEC" w:rsidP="00112DEC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2DEC">
        <w:rPr>
          <w:rFonts w:ascii="Times New Roman" w:eastAsia="Times New Roman" w:hAnsi="Times New Roman" w:cs="Times New Roman"/>
          <w:b/>
          <w:bCs/>
          <w:color w:val="B45F06"/>
          <w:sz w:val="26"/>
          <w:szCs w:val="26"/>
        </w:rPr>
        <w:t xml:space="preserve">- </w:t>
      </w:r>
      <w:proofErr w:type="spellStart"/>
      <w:r w:rsidRPr="00112DEC">
        <w:rPr>
          <w:rFonts w:ascii="Times New Roman" w:eastAsia="Times New Roman" w:hAnsi="Times New Roman" w:cs="Times New Roman"/>
          <w:b/>
          <w:bCs/>
          <w:color w:val="B45F06"/>
          <w:sz w:val="26"/>
          <w:szCs w:val="26"/>
        </w:rPr>
        <w:t>Giống</w:t>
      </w:r>
      <w:proofErr w:type="spellEnd"/>
      <w:r w:rsidRPr="00112DEC">
        <w:rPr>
          <w:rFonts w:ascii="Times New Roman" w:eastAsia="Times New Roman" w:hAnsi="Times New Roman" w:cs="Times New Roman"/>
          <w:b/>
          <w:bCs/>
          <w:color w:val="B45F06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b/>
          <w:bCs/>
          <w:color w:val="B45F06"/>
          <w:sz w:val="26"/>
          <w:szCs w:val="26"/>
        </w:rPr>
        <w:t>nhau</w:t>
      </w:r>
      <w:proofErr w:type="spellEnd"/>
      <w:r w:rsidRPr="00112DEC">
        <w:rPr>
          <w:rFonts w:ascii="Times New Roman" w:eastAsia="Times New Roman" w:hAnsi="Times New Roman" w:cs="Times New Roman"/>
          <w:b/>
          <w:bCs/>
          <w:color w:val="B45F06"/>
          <w:sz w:val="26"/>
          <w:szCs w:val="26"/>
        </w:rPr>
        <w:t>: </w:t>
      </w:r>
    </w:p>
    <w:p w:rsidR="00112DEC" w:rsidRPr="00112DEC" w:rsidRDefault="00112DEC" w:rsidP="00112DEC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sắm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112DEC" w:rsidRPr="00112DEC" w:rsidRDefault="00112DEC" w:rsidP="00112DEC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rãi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112DE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12DEC" w:rsidRPr="00112DEC" w:rsidRDefault="00112DEC" w:rsidP="00112DEC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2DEC">
        <w:rPr>
          <w:rFonts w:ascii="Times New Roman" w:eastAsia="Times New Roman" w:hAnsi="Times New Roman" w:cs="Times New Roman"/>
          <w:b/>
          <w:bCs/>
          <w:color w:val="B45F06"/>
          <w:sz w:val="26"/>
          <w:szCs w:val="26"/>
        </w:rPr>
        <w:t xml:space="preserve">- </w:t>
      </w:r>
      <w:proofErr w:type="spellStart"/>
      <w:r w:rsidRPr="00112DEC">
        <w:rPr>
          <w:rFonts w:ascii="Times New Roman" w:eastAsia="Times New Roman" w:hAnsi="Times New Roman" w:cs="Times New Roman"/>
          <w:b/>
          <w:bCs/>
          <w:color w:val="B45F06"/>
          <w:sz w:val="26"/>
          <w:szCs w:val="26"/>
        </w:rPr>
        <w:t>Khác</w:t>
      </w:r>
      <w:proofErr w:type="spellEnd"/>
      <w:r w:rsidRPr="00112DEC">
        <w:rPr>
          <w:rFonts w:ascii="Times New Roman" w:eastAsia="Times New Roman" w:hAnsi="Times New Roman" w:cs="Times New Roman"/>
          <w:b/>
          <w:bCs/>
          <w:color w:val="B45F06"/>
          <w:sz w:val="26"/>
          <w:szCs w:val="26"/>
        </w:rPr>
        <w:t xml:space="preserve"> </w:t>
      </w:r>
      <w:proofErr w:type="spellStart"/>
      <w:r w:rsidRPr="00112DEC">
        <w:rPr>
          <w:rFonts w:ascii="Times New Roman" w:eastAsia="Times New Roman" w:hAnsi="Times New Roman" w:cs="Times New Roman"/>
          <w:b/>
          <w:bCs/>
          <w:color w:val="B45F06"/>
          <w:sz w:val="26"/>
          <w:szCs w:val="26"/>
        </w:rPr>
        <w:t>nhau</w:t>
      </w:r>
      <w:proofErr w:type="spellEnd"/>
      <w:r w:rsidRPr="00112DEC">
        <w:rPr>
          <w:rFonts w:ascii="Times New Roman" w:eastAsia="Times New Roman" w:hAnsi="Times New Roman" w:cs="Times New Roman"/>
          <w:b/>
          <w:bCs/>
          <w:color w:val="B45F06"/>
          <w:sz w:val="26"/>
          <w:szCs w:val="26"/>
        </w:rPr>
        <w:t>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3916"/>
        <w:gridCol w:w="4100"/>
      </w:tblGrid>
      <w:tr w:rsidR="00112DEC" w:rsidRPr="00112DEC" w:rsidTr="00112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nợ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</w:p>
        </w:tc>
      </w:tr>
      <w:tr w:rsidR="00112DEC" w:rsidRPr="00112DEC" w:rsidTr="00112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(debit card)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dịch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thấu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 (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nếu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mở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hyperlink r:id="rId4" w:anchor="dieu_3" w:history="1">
              <w:proofErr w:type="spellStart"/>
              <w:r w:rsidRPr="00112DEC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>Thông</w:t>
              </w:r>
              <w:proofErr w:type="spellEnd"/>
              <w:r w:rsidRPr="00112DEC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 xml:space="preserve"> </w:t>
              </w:r>
              <w:proofErr w:type="spellStart"/>
              <w:r w:rsidRPr="00112DEC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>tư</w:t>
              </w:r>
              <w:proofErr w:type="spellEnd"/>
              <w:r w:rsidRPr="00112DEC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 xml:space="preserve"> </w:t>
              </w:r>
              <w:proofErr w:type="spellStart"/>
              <w:r w:rsidRPr="00112DEC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>số</w:t>
              </w:r>
              <w:proofErr w:type="spellEnd"/>
              <w:r w:rsidRPr="00112DEC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 xml:space="preserve"> 19/2016/TT-NHNN.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(credit card)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dịch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thỏa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hyperlink r:id="rId5" w:anchor="dieu_3" w:history="1">
              <w:proofErr w:type="spellStart"/>
              <w:r w:rsidRPr="00112DEC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>Thông</w:t>
              </w:r>
              <w:proofErr w:type="spellEnd"/>
              <w:r w:rsidRPr="00112DEC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 xml:space="preserve"> </w:t>
              </w:r>
              <w:proofErr w:type="spellStart"/>
              <w:r w:rsidRPr="00112DEC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>tư</w:t>
              </w:r>
              <w:proofErr w:type="spellEnd"/>
              <w:r w:rsidRPr="00112DEC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 xml:space="preserve"> </w:t>
              </w:r>
              <w:proofErr w:type="spellStart"/>
              <w:r w:rsidRPr="00112DEC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>số</w:t>
              </w:r>
              <w:proofErr w:type="spellEnd"/>
              <w:r w:rsidRPr="00112DEC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 xml:space="preserve"> 19/2016/TT-NHNN</w:t>
              </w:r>
            </w:hyperlink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12DEC" w:rsidRPr="00112DEC" w:rsidTr="00112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</w:t>
            </w:r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“DEBIT”</w:t>
            </w:r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logo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-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 -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lực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dải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chứa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Mặt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</w:t>
            </w:r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“CREDIT”</w:t>
            </w:r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logo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-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 -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lực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- Chip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tử</w:t>
            </w:r>
            <w:proofErr w:type="spellEnd"/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dãy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mật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CVV/CVC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ô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chữ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ký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dành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cho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chủ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</w:p>
        </w:tc>
      </w:tr>
      <w:tr w:rsidR="00112DEC" w:rsidRPr="00112DEC" w:rsidTr="00112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Nguồn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sẵn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 </w:t>
            </w:r>
          </w:p>
          <w:p w:rsidR="00112DEC" w:rsidRPr="00112DEC" w:rsidRDefault="00112DEC" w:rsidP="00112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vay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12DEC" w:rsidRPr="00112DEC" w:rsidRDefault="00112DEC" w:rsidP="00112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2DEC" w:rsidRPr="00112DEC" w:rsidTr="00112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Nhỏ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hơn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12DEC" w:rsidRPr="00112DEC" w:rsidTr="00112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12DEC" w:rsidRPr="00112DEC" w:rsidRDefault="00112DEC" w:rsidP="00112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sẽ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nếu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đầy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đủ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12DEC" w:rsidRPr="00112DEC" w:rsidRDefault="00112DEC" w:rsidP="00112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2DEC" w:rsidRPr="00112DEC" w:rsidTr="00112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kiện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CMT/ CCCD/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CMT/ CCCD/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giấy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nhập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(Sao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kê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lao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</w:t>
            </w:r>
          </w:p>
        </w:tc>
      </w:tr>
      <w:tr w:rsidR="00112DEC" w:rsidRPr="00112DEC" w:rsidTr="00112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rút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niên</w:t>
            </w:r>
            <w:proofErr w:type="spellEnd"/>
          </w:p>
          <w:p w:rsidR="00112DEC" w:rsidRPr="00112DEC" w:rsidRDefault="00112DEC" w:rsidP="00112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rút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niên</w:t>
            </w:r>
            <w:proofErr w:type="spellEnd"/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Nộp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nếu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12DEC" w:rsidRPr="00112DEC" w:rsidTr="00112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Điểm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hưởng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vay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mượn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12DEC" w:rsidRPr="00112DEC" w:rsidRDefault="00112DEC" w:rsidP="00112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hưởng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đầy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đủ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sẽ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thiện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ngược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vượt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</w:p>
        </w:tc>
      </w:tr>
      <w:tr w:rsidR="00112DEC" w:rsidRPr="00112DEC" w:rsidTr="00112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Lợi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ích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Dễ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dàng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sẵn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lo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nần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ít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thủ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tục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nhanh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chóng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thấp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Hưởng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ưu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chương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thiện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nếu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12DEC" w:rsidRPr="00112DEC" w:rsidRDefault="00112DEC" w:rsidP="00112DEC">
            <w:pPr>
              <w:spacing w:after="24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2DEC" w:rsidRPr="00112DEC" w:rsidTr="00112D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vượt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chương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hay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khuyến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hấp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Dễ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rơi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nần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nếu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lãi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12DEC" w:rsidRPr="00112DEC" w:rsidRDefault="00112DEC" w:rsidP="00112DEC">
            <w:pPr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2D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</w:p>
        </w:tc>
      </w:tr>
    </w:tbl>
    <w:p w:rsidR="009F5AEA" w:rsidRPr="00112DEC" w:rsidRDefault="009F5AEA" w:rsidP="00112DE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9F5AEA" w:rsidRPr="00112D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EC"/>
    <w:rsid w:val="00112DEC"/>
    <w:rsid w:val="003D636B"/>
    <w:rsid w:val="009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364171-2692-4197-A15E-8DEB5FAC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2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ien-te-Ngan-hang/Thong-tu-19-2016-TT-NHNN-hoat-dong-the-ngan-hang-316056.aspx" TargetMode="External"/><Relationship Id="rId4" Type="http://schemas.openxmlformats.org/officeDocument/2006/relationships/hyperlink" Target="https://thuvienphapluat.vn/van-ban/Tien-te-Ngan-hang/Thong-tu-19-2016-TT-NHNN-hoat-dong-the-ngan-hang-31605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2024-06-12T06:53:00Z</dcterms:created>
  <dcterms:modified xsi:type="dcterms:W3CDTF">2024-06-12T06:55:00Z</dcterms:modified>
</cp:coreProperties>
</file>