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B79" w:rsidRPr="00DC4B79" w:rsidRDefault="00DC4B79" w:rsidP="00DC4B79">
      <w:pPr>
        <w:shd w:val="clear" w:color="auto" w:fill="FFFFFF"/>
        <w:spacing w:after="0" w:line="234" w:lineRule="atLeast"/>
        <w:jc w:val="center"/>
        <w:rPr>
          <w:rFonts w:ascii="Arial" w:eastAsia="Times New Roman" w:hAnsi="Arial" w:cs="Arial"/>
          <w:color w:val="000000"/>
          <w:sz w:val="18"/>
          <w:szCs w:val="18"/>
        </w:rPr>
      </w:pPr>
      <w:bookmarkStart w:id="0" w:name="chuong_pl_1"/>
      <w:bookmarkStart w:id="1" w:name="_GoBack"/>
      <w:bookmarkEnd w:id="1"/>
      <w:r w:rsidRPr="00DC4B79">
        <w:rPr>
          <w:rFonts w:ascii="Arial" w:eastAsia="Times New Roman" w:hAnsi="Arial" w:cs="Arial"/>
          <w:b/>
          <w:bCs/>
          <w:color w:val="000000"/>
          <w:sz w:val="24"/>
          <w:szCs w:val="24"/>
          <w:lang w:val="vi-VN"/>
        </w:rPr>
        <w:t>PHỤ LỤC I</w:t>
      </w:r>
      <w:bookmarkEnd w:id="0"/>
    </w:p>
    <w:p w:rsidR="00DC4B79" w:rsidRPr="00DC4B79" w:rsidRDefault="00DC4B79" w:rsidP="00DC4B79">
      <w:pPr>
        <w:shd w:val="clear" w:color="auto" w:fill="FFFFFF"/>
        <w:spacing w:after="0" w:line="234" w:lineRule="atLeast"/>
        <w:jc w:val="center"/>
        <w:rPr>
          <w:rFonts w:ascii="Arial" w:eastAsia="Times New Roman" w:hAnsi="Arial" w:cs="Arial"/>
          <w:color w:val="000000"/>
          <w:sz w:val="18"/>
          <w:szCs w:val="18"/>
        </w:rPr>
      </w:pPr>
      <w:bookmarkStart w:id="2" w:name="chuong_pl_1_name"/>
      <w:r w:rsidRPr="00DC4B79">
        <w:rPr>
          <w:rFonts w:ascii="Arial" w:eastAsia="Times New Roman" w:hAnsi="Arial" w:cs="Arial"/>
          <w:color w:val="000000"/>
          <w:sz w:val="18"/>
          <w:szCs w:val="18"/>
          <w:lang w:val="vi-VN"/>
        </w:rPr>
        <w:t>DANH MỤC HÀNG HÓA, DỊCH VỤ KHÔNG ĐƯỢC GIẢM THUẾ SUẤT THUẾ GIÁ TRỊ GIA TĂNG</w:t>
      </w:r>
      <w:bookmarkEnd w:id="2"/>
      <w:r w:rsidRPr="00DC4B79">
        <w:rPr>
          <w:rFonts w:ascii="Arial" w:eastAsia="Times New Roman" w:hAnsi="Arial" w:cs="Arial"/>
          <w:color w:val="000000"/>
          <w:sz w:val="18"/>
          <w:szCs w:val="18"/>
          <w:lang w:val="vi-VN"/>
        </w:rPr>
        <w:br/>
      </w:r>
      <w:r w:rsidRPr="00DC4B79">
        <w:rPr>
          <w:rFonts w:ascii="Arial" w:eastAsia="Times New Roman" w:hAnsi="Arial" w:cs="Arial"/>
          <w:i/>
          <w:iCs/>
          <w:color w:val="000000"/>
          <w:sz w:val="18"/>
          <w:szCs w:val="18"/>
          <w:lang w:val="vi-VN"/>
        </w:rPr>
        <w:t>(Kèm theo Nghị định số 174/2025/NĐ-CP ngày 30 tháng 6 năm 2025 của Chính phủ)</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1"/>
        <w:gridCol w:w="591"/>
        <w:gridCol w:w="591"/>
        <w:gridCol w:w="591"/>
        <w:gridCol w:w="687"/>
        <w:gridCol w:w="687"/>
        <w:gridCol w:w="885"/>
        <w:gridCol w:w="1474"/>
        <w:gridCol w:w="1769"/>
        <w:gridCol w:w="1474"/>
      </w:tblGrid>
      <w:tr w:rsidR="00DC4B79" w:rsidRPr="00DC4B79" w:rsidTr="00DC4B79">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1</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2</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3</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4</w:t>
            </w:r>
          </w:p>
        </w:tc>
        <w:tc>
          <w:tcPr>
            <w:tcW w:w="3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5</w:t>
            </w:r>
          </w:p>
        </w:tc>
        <w:tc>
          <w:tcPr>
            <w:tcW w:w="3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6</w:t>
            </w:r>
          </w:p>
        </w:tc>
        <w:tc>
          <w:tcPr>
            <w:tcW w:w="4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7</w:t>
            </w:r>
          </w:p>
        </w:tc>
        <w:tc>
          <w:tcPr>
            <w:tcW w:w="7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Tên sản phẩm</w:t>
            </w:r>
          </w:p>
        </w:tc>
        <w:tc>
          <w:tcPr>
            <w:tcW w:w="9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Nội dung</w:t>
            </w:r>
          </w:p>
        </w:tc>
        <w:tc>
          <w:tcPr>
            <w:tcW w:w="7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Mã số HS (áp dụng đối với hàng hóa tại khâu nhập khẩu)</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(4)</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B</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SẢN PHẨM KHAI KHOÁNG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thô và khí đốt tự nhiên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thô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mỏ và dầu thu được từ khoáng bitum, ở dạng thô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dầu mỏ thô; Condensate và dầu thô loại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phiến sét dầu hoặc đá phiến sét bitum, cát hắc ín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2714.10.00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khí hoặc hóa lỏng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hóa lỏng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2711.11.00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khí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2711.21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và tinh quặng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sắt và tinh quặng sắt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Quặng sắt và tinh quặng sắt chưa nung kết và đã nung kết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Trừ pirit sắt đã hoặc chưa nung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Quặng kim loại khác không chứa </w:t>
            </w:r>
            <w:r w:rsidRPr="00DC4B79">
              <w:rPr>
                <w:rFonts w:ascii="Arial" w:eastAsia="Times New Roman" w:hAnsi="Arial" w:cs="Arial"/>
                <w:color w:val="000000"/>
                <w:sz w:val="18"/>
                <w:szCs w:val="18"/>
                <w:lang w:val="vi-VN"/>
              </w:rPr>
              <w:lastRenderedPageBreak/>
              <w:t>sắt (trừ quặng kim loại quý hiếm)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uranium, quặng thorium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Chỉ tính phần khai thác các loại quặng uranium và quặng thorium, không tính phần làm giàu các loại quặng đó</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khác không chứa sắt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Tính cả sản phẩm trong quá trình khai thác và làm giàu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bôxít và tinh quặng bôxit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bôxit còn gọi là quặng nhôm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2606.00.00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khác không chứa sắt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mangan, đồng, niken, coban, crôm, vonfram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2602.00.00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2603.00.00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2604.00.00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2605.00.00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2610.00.00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mangan và tinh quặng mangan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Kể cả quặng mangan chứa sắt và tinh quặng mangan chứa sắt với hàm lượng magan từ 20% trở lên, tính theo trọng lượng khô</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đồng và tinh quặng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2603.00.00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niken và tinh quặng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2604.00.00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coban và tinh quặng coban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2605.00.00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crôm và tinh quặng crôm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2610.00.00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vonfram và tinh quặng vonfram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chì, kẽm, thiếc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2608.00.00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chì và tinh quặng chì</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2607.00.00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kẽm và tinh quặng kẽm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2608.00.00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thiếc và tinh quặng thiếc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molipden và tinh quặng molipden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Quặng molipden và tinh quặng molipden đã nung; Quặng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molipden và tinh quặng molipden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titan và tinh quặng titan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ilmenite và tinh quặng ilmenite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rutil và tinh quặng rutil</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monazite và tinh quặng monazite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2612.20.00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titan khác và tinh quặng titan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antimon và tinh quặng antimon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niobi, tantali, vanadi, zircon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zircon và tinh quặng zircon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niobi tantali, vanadi và tinh quặng niobi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và tinh quặng kim loại khác không chứa sắt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quý hiếm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bạc và tinh quặng bạc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vàng và tinh quặng vàng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bạch kim và tinh quặng bạch kim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1730009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quý và tinh quặng kim loại quý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cát, sỏi, đất sét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Đẽo thô hay cắt bằng cưa hoặc bằng cách khác. Loại trừ: Các sản phẩm được cắt tạo dáng, hoàn thiện được phân vào nhóm 23960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xây dựng và trang trí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68.02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cẩm thạch (đá hoa), đá hoa trắng, travertine, ecausine và đá vôi khác, thạch cao tuyết hoa, đã hoặc chưa đẽo thô hoặc mới chỉ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dùng để làm tượng đài hoặc đá xây dựng có trọng lượng riêng từ 2,5 trở lên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granit, đá pocfia, bazan, đá cát kết (sa thạch), đá quartzite và đá khác đã hoặc chưa đẽo thô hoặc mới chỉ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dùng để làm tượng đài hoặc đá xây dựng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vôi và các loại đá có chứa canxi khác, dùng để sản xuất vôi hoặc xi măng; thạch cao và thạch cao khan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2521.00.00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2520.10.00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vôi và các loại đá có chứa canxi khác dùng để sản xuất vôi hoặc xi măng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Thạch cao, thạch cao khan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2520.10.00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 và đolomit chưa nung hoặc thiêu kết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 làm vật liệu chịu lửa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Đolomit chưa nung hoặc thiêu kết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Đolomit không chứa canxi Đolomit đã nung hoặc thiêu kết thuộc ngành 2394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0810140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phiến, đã hoặc chưa đẽo thô hay mới chì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2514.00.00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Cát, sỏi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Cát tự nhiên, đã hoặc chưa nhuộm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cát ôxit silic, cát thạch anh và cát tự nhiên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Sỏi, đá cuội; đá dạng viên, mảnh vụn và bột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Sỏi, đá cuội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Chủ yếu để làm cốt bê tông, để rải đường bộ hay đường sắt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dạng viên, dạng mảnh vụn và dạng bột làm từ các loại đá thuộc nhóm đá xây dựng và trang trí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2517.41.00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2517.49.00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Hỗn hợp cát, đá, sỏi và chất thải công nghiệp tận thu trong quá trình khai thác dùng cho xây dựng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2517.20.00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2517.30.00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Đất sét và cao lanh các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Cao lanh và đất sét cao lanh khác đã hoặc chưa nung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2507.00.00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Đất sét khác, andalusite, </w:t>
            </w:r>
            <w:r w:rsidRPr="00DC4B79">
              <w:rPr>
                <w:rFonts w:ascii="Arial" w:eastAsia="Times New Roman" w:hAnsi="Arial" w:cs="Arial"/>
                <w:color w:val="000000"/>
                <w:sz w:val="18"/>
                <w:szCs w:val="18"/>
                <w:lang w:val="vi-VN"/>
              </w:rPr>
              <w:lastRenderedPageBreak/>
              <w:t>kyanite và silimanite, mullite; đất chịu lửa hay đất dinas</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Bao gồm các loại đất sét như: đất sét chịu </w:t>
            </w:r>
            <w:r w:rsidRPr="00DC4B79">
              <w:rPr>
                <w:rFonts w:ascii="Arial" w:eastAsia="Times New Roman" w:hAnsi="Arial" w:cs="Arial"/>
                <w:color w:val="000000"/>
                <w:sz w:val="18"/>
                <w:szCs w:val="18"/>
                <w:lang w:val="vi-VN"/>
              </w:rPr>
              <w:lastRenderedPageBreak/>
              <w:t>lửa; Bentonit; Andalusite, kyanite và silimanite; Mullite và đất chịu lửa hay đất dinas...</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Không gồm đất sét trương nở</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và khoáng phân bón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Canxi phosphat tự nhiên, canxi phosphat nhôm tự nhiên và đá phấn có chứa phosphat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Bao gồm cả quặng apatit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sắt chưa nung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chứa 33% lưu huỳnh;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sắt đã nung thuộc ngành 2011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Bari sulfat tự nhiên, bari carbonat tự nhiên đã hoặc chưa nung, trừ bari oxit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borat tự nhiên, tinh quặng borat tự nhiên, nhưng không kể borat tách từ nước biển tự nhiên. Axit boric tự nhiên chứa không quá 85% H</w:t>
            </w:r>
            <w:r w:rsidRPr="00DC4B79">
              <w:rPr>
                <w:rFonts w:ascii="Arial" w:eastAsia="Times New Roman" w:hAnsi="Arial" w:cs="Arial"/>
                <w:color w:val="000000"/>
                <w:sz w:val="18"/>
                <w:szCs w:val="18"/>
                <w:vertAlign w:val="subscript"/>
                <w:lang w:val="vi-VN"/>
              </w:rPr>
              <w:t>3</w:t>
            </w:r>
            <w:r w:rsidRPr="00DC4B79">
              <w:rPr>
                <w:rFonts w:ascii="Arial" w:eastAsia="Times New Roman" w:hAnsi="Arial" w:cs="Arial"/>
                <w:color w:val="000000"/>
                <w:sz w:val="18"/>
                <w:szCs w:val="18"/>
                <w:lang w:val="vi-VN"/>
              </w:rPr>
              <w:t>BO</w:t>
            </w:r>
            <w:r w:rsidRPr="00DC4B79">
              <w:rPr>
                <w:rFonts w:ascii="Arial" w:eastAsia="Times New Roman" w:hAnsi="Arial" w:cs="Arial"/>
                <w:color w:val="000000"/>
                <w:sz w:val="18"/>
                <w:szCs w:val="18"/>
                <w:vertAlign w:val="subscript"/>
                <w:lang w:val="vi-VN"/>
              </w:rPr>
              <w:t>4</w:t>
            </w:r>
            <w:r w:rsidRPr="00DC4B79">
              <w:rPr>
                <w:rFonts w:ascii="Arial" w:eastAsia="Times New Roman" w:hAnsi="Arial" w:cs="Arial"/>
                <w:color w:val="000000"/>
                <w:sz w:val="18"/>
                <w:szCs w:val="18"/>
                <w:lang w:val="vi-VN"/>
              </w:rPr>
              <w:t> tính theo trọng lượng khô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borat, tinh quặng borat đã hoặc chưa nung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2528.00.00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flourit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2529.22.00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Kiezerit, epsomit (magie sulphat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2530.20.10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2530.20.20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có chứa kali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Khoáng Carnallite; Khoáng Sylvite</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2530.90.90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từ phân động vật dùng để làm phân bón hoặc nhiên liệu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và khoáng phân bón khác chưa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Muối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muối biển và muối mỏ khai thác, chưa qua chế biến.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quí và đá bán quí, kim cương, và các loại đá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quí, đá bán quí chưa được gia công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loại đá quí như: đá rubi, ngọc bích... Sản phẩm này cũng bao gồm cả các loại mới chỉ cắt đơn giản hoặc tạo hình thô</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7103.10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cương (trừ kim cương công nghiệp)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kim cương chưa được phân loại hoặc mới chỉ được cắt, tách một cách đơn giản hay mới chỉ được chuốt hoặc mài sơ qua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7102.39.00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Kim cương chất lượng công nghiệp, chưa gia công hoặc mới </w:t>
            </w:r>
            <w:r w:rsidRPr="00DC4B79">
              <w:rPr>
                <w:rFonts w:ascii="Arial" w:eastAsia="Times New Roman" w:hAnsi="Arial" w:cs="Arial"/>
                <w:color w:val="000000"/>
                <w:sz w:val="18"/>
                <w:szCs w:val="18"/>
                <w:lang w:val="vi-VN"/>
              </w:rPr>
              <w:lastRenderedPageBreak/>
              <w:t>chỉ được cắt, tách một cách đơn giản hay mới chỉ được chuốt hoặc mài sơ qua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7102.29.00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bọt, đá nhám, corundum tự nhiên, granet (dạ minh châu) tự nhiên và đá mài tự nhiên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Bitum và asphalt ở dạng tự nhiên; Asphantite và đá chứa asphalt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2714.90.00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graphit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thạch anh, trừ cát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2506.10.00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Bột hóa thạch silic và đất silic tương tự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fr-FR"/>
              </w:rPr>
              <w:t>Gồm cả đất tảo cát, tripolite và diatomite</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Magiê carbonat tự nhiên (magiezit), magiê ôxit nấu chảy, Magiê ôxit nung trơ (thiêu kết), magiê ôxit khác tinh khiết hoặc không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amiang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mica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Mica thô và mica đã tách thành tấm hay lớp; Bột mica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steatit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quặng steatit tự nhiên thô hoặc cắt thành khối hoặc tấm </w:t>
            </w:r>
            <w:r w:rsidRPr="00DC4B79">
              <w:rPr>
                <w:rFonts w:ascii="Arial" w:eastAsia="Times New Roman" w:hAnsi="Arial" w:cs="Arial"/>
                <w:color w:val="000000"/>
                <w:sz w:val="18"/>
                <w:szCs w:val="18"/>
                <w:lang w:val="vi-VN"/>
              </w:rPr>
              <w:lastRenderedPageBreak/>
              <w:t>và quặng steatit đã nghiền thành bột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0899098</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Tràng thạch (đá bồ tát)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Còn gọi là Felspar</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loại như: Leucite, nepheline và nepheline syenite; Vermiculite, đá trân châu và clorit, chưa giãn nở;...</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2529.30.00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SẢN PHẨM CÔNG NGHIỆP CHẾ BIẾN, CHẾ TẠO</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gang, sắt,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gang, sắt, thép cơ bản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Gang, gang thỏi không hợp kim; gang thỏi hợp kim; gang thỏi giàu mangan, hợp kim sắt-cacbon chứa trên 6% nhưng không quá 30% mangan tính theo trọng lượng dạng khối hoặc dạng cơ bản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7204.10.00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Hợp kim sắt (hợp kim Fero)</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Hợp kim sắt Mangan; Hợp kim sắt Silic; Hợp kim sắt Silic - Mangan; Hợp kim sắt Crôm; Hợp kim sắt Silic - Crôm; Hợp kim sắt Niken; Hợp kim sắt Molipden; Hợp kim sắt Vonfram và hợp </w:t>
            </w:r>
            <w:r w:rsidRPr="00DC4B79">
              <w:rPr>
                <w:rFonts w:ascii="Arial" w:eastAsia="Times New Roman" w:hAnsi="Arial" w:cs="Arial"/>
                <w:color w:val="000000"/>
                <w:sz w:val="18"/>
                <w:szCs w:val="18"/>
                <w:lang w:val="vi-VN"/>
              </w:rPr>
              <w:lastRenderedPageBreak/>
              <w:t>kim Silic - Vonfram; Hợp kim sắt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72.02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chứa sắt được hoàn nguyên trực tiếp từ quặng sắt và các sản phẩm sắt xốp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Dạng tảng, cục hoặc dạng tương tự; sắt có độ sạch tối thiểu 99,94% dạng tảng, cục hoặc dạng tương tự</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Hột và bột của gang thỏi không hợp kim; gang thỏi hợp kim; gang thỏi giàu mangan, hợp kim sắt-cacbon chứa trên 6% nhưng không quá 30% mangan tính theo trọng lượng dạng khối hoặc dạng cơ bản khác, sắt,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7201.50.00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thô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gồm thép không gỉ và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7218.10.00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7224.10.00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dạng thỏi đúc hoặc dạng thô khác; thép không hợp kim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dạng thỏi hoặc dạng cơ bản thô khác; Thép không gỉ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dạng thỏi đúc hoặc dạng thô khác; Thép hợp kim khác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Sản phẩm thép cuộn phẳng </w:t>
            </w:r>
            <w:r w:rsidRPr="00DC4B79">
              <w:rPr>
                <w:rFonts w:ascii="Arial" w:eastAsia="Times New Roman" w:hAnsi="Arial" w:cs="Arial"/>
                <w:color w:val="000000"/>
                <w:sz w:val="18"/>
                <w:szCs w:val="18"/>
                <w:lang w:val="vi-VN"/>
              </w:rPr>
              <w:lastRenderedPageBreak/>
              <w:t>không gia công quá mức cuộn nóng,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7211.13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nóng,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nóng, có chiều rộng ≥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gỉ cuộn phẳng không gia công quá mức cuộn nóng, dạng cuộn, có chiều rộng ≥ 600mm; Thép không gỉ cuộn phẳng không gia công quá mức cuộn nóng, dạng không cuộn, có chiều rộng ≥ 600mm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7219.24.00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nóng, có chiều rộng ≥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Thép hợp kim khác cuộn phẳng không gia công quá mức cuộn nóng, dạng cuộn, có chiều rộng ≥ 600mm; Thép hợp kim khác cuộn phẳng không gia </w:t>
            </w:r>
            <w:r w:rsidRPr="00DC4B79">
              <w:rPr>
                <w:rFonts w:ascii="Arial" w:eastAsia="Times New Roman" w:hAnsi="Arial" w:cs="Arial"/>
                <w:color w:val="000000"/>
                <w:sz w:val="18"/>
                <w:szCs w:val="18"/>
                <w:lang w:val="vi-VN"/>
              </w:rPr>
              <w:lastRenderedPageBreak/>
              <w:t>công quá mức cuộn nóng, dạng không cuộn, có chiều rộng ≥ 600mm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7225.30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7225.40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lastRenderedPageBreak/>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nóng, có chiều rộng &lt;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cuộn phẳng không gia công quá mức cuộn nguội (ép nguội),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Thép không hợp kim cuộn phẳng không gia công quá mức cuộn nguội, có chiều rộng ≥ 600mm, chưa được dát </w:t>
            </w:r>
            <w:r w:rsidRPr="00DC4B79">
              <w:rPr>
                <w:rFonts w:ascii="Arial" w:eastAsia="Times New Roman" w:hAnsi="Arial" w:cs="Arial"/>
                <w:color w:val="000000"/>
                <w:sz w:val="18"/>
                <w:szCs w:val="18"/>
                <w:lang w:val="vi-VN"/>
              </w:rPr>
              <w:lastRenderedPageBreak/>
              <w:t>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Thép không hợp kim cuộn phẳng không gia công quá mức cuộn nguội, dạng cuộn, có chiều rộng ≥ 600mm, chưa được dát phủ, mạ hoặc tráng; Thép </w:t>
            </w:r>
            <w:r w:rsidRPr="00DC4B79">
              <w:rPr>
                <w:rFonts w:ascii="Arial" w:eastAsia="Times New Roman" w:hAnsi="Arial" w:cs="Arial"/>
                <w:color w:val="000000"/>
                <w:sz w:val="18"/>
                <w:szCs w:val="18"/>
                <w:lang w:val="vi-VN"/>
              </w:rPr>
              <w:lastRenderedPageBreak/>
              <w:t>không hợp kim cuộn phẳng không gia công quá mức cuộn nguội, dạng không cuộn, có chiều rộng ≥ 600mm, chưa được dát phủ, mạ hoặc tráng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nguội,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nguội,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nguội, có chiều rộng &lt;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nguội,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mỏng không gia công quá mức cuộn nguội,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cuộn phẳng đã được dát phủ, mạ hoặc tráng; Sản phẩm thép kỹ thuật điện, thép gió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có chiều rộng ≥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cán phẳng có chiều rộng &lt;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Thép không hợp kim cán phẳng có chiều rộng &lt; 600mm, được mạ hoặc tráng thiếc; Thép không hợp kim cán phẳng có chiều </w:t>
            </w:r>
            <w:r w:rsidRPr="00DC4B79">
              <w:rPr>
                <w:rFonts w:ascii="Arial" w:eastAsia="Times New Roman" w:hAnsi="Arial" w:cs="Arial"/>
                <w:color w:val="000000"/>
                <w:sz w:val="18"/>
                <w:szCs w:val="18"/>
                <w:lang w:val="vi-VN"/>
              </w:rPr>
              <w:lastRenderedPageBreak/>
              <w:t>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cán phẳng, có chiều rộng ≥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cuộn phẳng,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cuộn phẳng, có chiều rộng ≥ 600mm, bằng thép silic kỹ thuật điện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7225.19.00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Thép hợp kim cuộn phẳng, có </w:t>
            </w:r>
            <w:r w:rsidRPr="00DC4B79">
              <w:rPr>
                <w:rFonts w:ascii="Arial" w:eastAsia="Times New Roman" w:hAnsi="Arial" w:cs="Arial"/>
                <w:color w:val="000000"/>
                <w:sz w:val="18"/>
                <w:szCs w:val="18"/>
                <w:lang w:val="vi-VN"/>
              </w:rPr>
              <w:lastRenderedPageBreak/>
              <w:t>chiều rộng &lt; 600mm, bằng thép silic kỹ thuật điện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7226.19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lastRenderedPageBreak/>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cán mỏng, có chiều rộng &lt; 600mm, bằng thép gió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dạng thanh, que, dạng góc, khuôn hình cán nóng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7221.00.00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không hợp kim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không gỉ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hợp kim khác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ở dạng thanh và que khác, chưa được gia công quá mức rèn, cán nóng, kéo nóng hoặc ép đùn nóng, nhưng kể cả những dạng này được xoắn sau khi cán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thép không hợp kim mới chỉ qua rèn, cán nóng, kéo nóng hoặc ép đùn nóng, kể cả công đoạn xoắn sau khi nóng; Thanh, que thép không hợp kim, tạo hình nguội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7228.60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dạng thanh, que chác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Các dạng thanh, que khác bằng hợp kim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bằng thép gió; Thanh, que bằng thép silic mangan; Thanh, que bằng thép hợp kim rỗng; Thanh, que bằng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thanh, que ở dạng rỗng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2410068</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dạng góc, khuôn, hình (trừ vật liệu xây dựng và góc, khuôn, hình đã được hàn)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dạng góc, khuôn, hình; Thép không gỉ dạng góc, khuôn, hình; Thép hợp kim khác dạng góc, khuôn, hình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Cọc cừ, ray xe lửa và các vật liệu xây dựng ray xe lửa bằng Thép; Góc, khuôn, hình bằng Thép đã được hàn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Cọc cừ bằng Thép; Góc, khuôn, hình bằng Thép đã được hàn; Vật liệu xây dựng đường ray xe lửa hoặc tàu điện bằng Thép</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và ống dẫn, ống khớp nối các loại bằng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Đối với ống và khớp mối nối được tạo bằng phương pháp đúc thì cho vào nhóm ngành 24310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bằng Thép không nối ghép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Ống dẫn bằng Thép không nối, dùng để dẫn dầu hoặc khí; ống chống bằng Thép không nối, dùng trong khoan dầu hoặc </w:t>
            </w:r>
            <w:r w:rsidRPr="00DC4B79">
              <w:rPr>
                <w:rFonts w:ascii="Arial" w:eastAsia="Times New Roman" w:hAnsi="Arial" w:cs="Arial"/>
                <w:color w:val="000000"/>
                <w:sz w:val="18"/>
                <w:szCs w:val="18"/>
                <w:lang w:val="vi-VN"/>
              </w:rPr>
              <w:lastRenderedPageBreak/>
              <w:t>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73.04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và ống dẫn bằng thép có nối ghép (được hàn, tán bằng đinh, ghép với nhau bằng cách tương tự...)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Ống dẫn bằng Thép có nối, dùng để dẫn dầu hoặc khí; Ống chống bằng Thép có nối, dùng trong khoan dầu hoặc khí; ống bằng Thép có nối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Phụ kiện ghép nối (trừ phụ kiện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Các sản phẩm thép cán nguội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cán nguội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cuốn cỡ nhỏ (&lt;600 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hình, gấp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Dây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Dây thép không hợp kim (Gồm cả dây thép không hợp kim đã mạ hoặc chưa mạ); Dây thép không gỉ; Dây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kim loại màu và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quý và dịch vụ sản xuất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w:t>
            </w:r>
            <w:r w:rsidRPr="00DC4B79">
              <w:rPr>
                <w:rFonts w:ascii="Arial" w:eastAsia="Times New Roman" w:hAnsi="Arial" w:cs="Arial"/>
                <w:color w:val="000000"/>
                <w:sz w:val="18"/>
                <w:szCs w:val="18"/>
                <w:lang w:val="vi-VN"/>
              </w:rPr>
              <w:lastRenderedPageBreak/>
              <w:t>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71.06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Nhôm chưa gia công, nhôm ôxit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Nhôm chưa gia công; Oxit nhôm, trừ nhân tạo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76.01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2818.20.00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bằng nhôm hoặc hợp kim nhôm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Chì, kẽm, thiếc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Thanh, que, dây chì; ống, ống dẫn, ống nối và các phụ kiện của ống bằng chì; ống, </w:t>
            </w:r>
            <w:r w:rsidRPr="00DC4B79">
              <w:rPr>
                <w:rFonts w:ascii="Arial" w:eastAsia="Times New Roman" w:hAnsi="Arial" w:cs="Arial"/>
                <w:color w:val="000000"/>
                <w:sz w:val="18"/>
                <w:szCs w:val="18"/>
                <w:lang w:val="vi-VN"/>
              </w:rPr>
              <w:lastRenderedPageBreak/>
              <w:t>ống dẫn, ống nối và các phụ kiện của ống bằng kẽm; Bột và vảy thiếc; Lát, tấm, dải, lá bằng thiếc; Ống, ống dẫn, ống nối và các phụ kiện của ống bằng thiếc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Chì, kẽm, thiếc chưa gia công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Chì chưa gia công; Kẽm chưa gia công; Thiếc chưa gia công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78.01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79.01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80.01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bằng chì, kẽm, thiếc hoặc hợp kim của chúng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vảy chì; Bột và vảy kẽm; Lát, tấm, dải, lá và lá mỏng bằng chì; Lát, tấm, dải, lá và lá mỏng bằng kẽm; Tấm cách nhiệt; Thanh, que và dây kẽm; Thanh, que, hình và dây thiếc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Đồng, hợp kim đồng chưa gia công, sten đồng, đồng xi măng hóa (đồng kết tủa)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(Thường sử dụng như chất phụ gia trong ngành luyện kim màu hoặc sử dụng trong sản xuất các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7401.00.10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7401.00.20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7402.00.10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7402.00.90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7404.00.00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7405.00.00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sản phẩm bằng đồng hoặc hợp kim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Bột đồng và vảy đồng; Thanh, que bằng đồng; Dây đồng; Lát, tấm, mảng bằng đồng dày hơn 0.15mm; Đồng lá </w:t>
            </w:r>
            <w:r w:rsidRPr="00DC4B79">
              <w:rPr>
                <w:rFonts w:ascii="Arial" w:eastAsia="Times New Roman" w:hAnsi="Arial" w:cs="Arial"/>
                <w:color w:val="000000"/>
                <w:sz w:val="18"/>
                <w:szCs w:val="18"/>
                <w:lang w:val="vi-VN"/>
              </w:rPr>
              <w:lastRenderedPageBreak/>
              <w:t>mỏng có độ dày không quá 0.15mm; Ống và ống dẫn bằng đồng; Ống nối của ống hoặc của ống dẫn bằng đồng (VD: Khớp nối đôi, nối khuỷu, măng sông...)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Niken chưa gia công; Sản phẩm trung gian của quá trình luyện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Niken sten, oxit niken và sản phẩm trung gian của nó; Niken chưa gia công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7503.00.00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sản phẩm bằng niken hoặc hợp kim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vảy niken; Lát, tấm, dải, lá và lá mỏng bằng niken; Thanh, que, dây niken; ống và ống dẫn bằng niken; Ống nối và phụ kiện của ống và ống dẫn bằng niken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khác không chứa sắt và sản phẩm của chúng: chất gốm kim loại, tro và chất lắng, cặn chứa kim loại hoặc hợp chất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kim loại không chứa sắt khác và sản phẩm của chúng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và dịch vụ đúc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bằng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7325.10.90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7325.99.90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7326.90.99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8480.20.00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8480.30.90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8480.41.00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8480.49.00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ống dẫn, thanh hình có mặt cắt rỗng bằng gang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cả trụ cứu hỏa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Phụ kiện ghép nối dạng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và dịch vụ đúc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bằng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J</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THÔNG TIN VÀ TRUYỀN THÔNG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trực tiếp dịch vụ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và điện tín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điện thoại cố định - truy cập và sử dụng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điện thoại cố định - gọi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riêng cho hệ thống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dẫn cho hệ thống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trên mạng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chủ internet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hẹp trên mạng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rộng trên mạng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có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trên cơ sở hạ tầng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phát các chương trình tại nhà trên cơ sở hạ tầng có dây, gói </w:t>
            </w:r>
            <w:r w:rsidRPr="00DC4B79">
              <w:rPr>
                <w:rFonts w:ascii="Arial" w:eastAsia="Times New Roman" w:hAnsi="Arial" w:cs="Arial"/>
                <w:color w:val="000000"/>
                <w:sz w:val="18"/>
                <w:szCs w:val="18"/>
                <w:lang w:val="vi-VN"/>
              </w:rPr>
              <w:lastRenderedPageBreak/>
              <w:t>chương trình cơ bản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trên toàn bộ cơ sở hạ tầng có dây, chương trình trả tiền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viễn thông có dây sử dụng quyền truy cập hạ tầng viễn thông của đơn vị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trực tiếp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di động và mạng riêng cho hệ thống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di động -truy cập và sử dụng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không dây - cuộc gọi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riêng cho hệ thống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hãng truyền thông trên mạng lưới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trên toàn bộ mạng lưới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không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hẹp trên toàn bộ mạng lưới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5120142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rộng trên toàn bộ mạng lưới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5120149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không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chương trình tại nhà qua mạng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viễn thông không dây sử dụng quyền truy cập hạ tầng viễn thông của đơn vị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vệ tinh, ngoại trừ dịch vụ phát các chương trình tại nhà qua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qua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các điểm truy cập internet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K</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TÀI CHÍNH, NGÂN HÀNG VÀ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ngân hàng trung ương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ký quỹ theo quy mô lớn và các giao dịch tài chính khác – Mở tài khoản cho các tổ chức tín dụng và Kho bạc Nhà nước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thi hành chính sách tiền tệ, chính sách an toàn vĩ mô</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dự trữ ngoại hối của chính phủ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tác động đến giá trị của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phát hành tiền tệ dưới sự quản lý của ngân hàng trung ương, Gồm: thiết kế, sắp xếp, phân phối và thay thế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đại lý tài chính Gồm: dịch vụ tư vấn cho chính phủ về vấn đề liên quan đến trái phiếu Chính phủ, phát hành trái phiếu, duy trì hồ sơ người mua công trái và thực hiện việc chi trả thay mặt chính </w:t>
            </w:r>
            <w:r w:rsidRPr="00DC4B79">
              <w:rPr>
                <w:rFonts w:ascii="Arial" w:eastAsia="Times New Roman" w:hAnsi="Arial" w:cs="Arial"/>
                <w:color w:val="000000"/>
                <w:sz w:val="18"/>
                <w:szCs w:val="18"/>
                <w:lang w:val="vi-VN"/>
              </w:rPr>
              <w:lastRenderedPageBreak/>
              <w:t>phủ các khoản tiền lãi cũng như thanh toán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 cho các tập đoàn và các thể chế</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yêu cầu, thông báo và thời hạn tiền gửi, đến khách hàng kinh doanh lớn hoặc tổ chức lớn, Gồm: cả chính phủ</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 cho các đối tượng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yêu cầu, thông báo và thời hạn tiền gửi đến người gửi tiền, trừ công ty và tổ chức, dịch vụ thanh toán, dịch vụ chứng nhận séc, dịch vụ ngừng thanh toán.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đóng gói hoặc sắp xếp tiền giấy hoặc tiền xu thay mặt khách hàng được phân vào nhóm 829200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thu thập hối phiếu, séc hoặc các loại hối phiếu khác để đổi lấy tiền mặt hoặc một khoản tiền gửi được phân vào nhóm 829100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thu thập các tài khoản hoặc nhận tiền dưới dạng chuyển nhượng tài khoản hoặc hợp đồng được phân vào nhóm 829100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cấp tín dụng liên ngành </w:t>
            </w:r>
            <w:r w:rsidRPr="00DC4B79">
              <w:rPr>
                <w:rFonts w:ascii="Arial" w:eastAsia="Times New Roman" w:hAnsi="Arial" w:cs="Arial"/>
                <w:color w:val="000000"/>
                <w:sz w:val="18"/>
                <w:szCs w:val="18"/>
                <w:lang w:val="vi-VN"/>
              </w:rPr>
              <w:lastRenderedPageBreak/>
              <w:t>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Các khoản vay được cấp cho các </w:t>
            </w:r>
            <w:r w:rsidRPr="00DC4B79">
              <w:rPr>
                <w:rFonts w:ascii="Arial" w:eastAsia="Times New Roman" w:hAnsi="Arial" w:cs="Arial"/>
                <w:color w:val="000000"/>
                <w:sz w:val="18"/>
                <w:szCs w:val="18"/>
                <w:lang w:val="vi-VN"/>
              </w:rPr>
              <w:lastRenderedPageBreak/>
              <w:t>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tiêu dùng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cấp các khoản cho vay cá nhân không cần thế chấp thông qua các thể chế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việc cấp tín dụng theo một kế hoạch thanh toán đã được lập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trong phạm vi hoạt động của tín dụng, dựa trên cam kết cho vay vốn với một số lượng nhất định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cấp tín dụng thế chấp quyền sử dụng </w:t>
            </w:r>
            <w:r w:rsidRPr="00DC4B79">
              <w:rPr>
                <w:rFonts w:ascii="Arial" w:eastAsia="Times New Roman" w:hAnsi="Arial" w:cs="Arial"/>
                <w:color w:val="000000"/>
                <w:sz w:val="18"/>
                <w:szCs w:val="18"/>
                <w:lang w:val="vi-VN"/>
              </w:rPr>
              <w:lastRenderedPageBreak/>
              <w:t>đất hoặc nhà để ở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Dịch vụ cấp tín dụng thông qua các thể chế tiền tệ dùng </w:t>
            </w:r>
            <w:r w:rsidRPr="00DC4B79">
              <w:rPr>
                <w:rFonts w:ascii="Arial" w:eastAsia="Times New Roman" w:hAnsi="Arial" w:cs="Arial"/>
                <w:color w:val="000000"/>
                <w:sz w:val="18"/>
                <w:szCs w:val="18"/>
                <w:lang w:val="vi-VN"/>
              </w:rPr>
              <w:lastRenderedPageBreak/>
              <w:t>cho mục đích lấy các quyền sử dụng đất hoặc nhà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Vay ký quĩ nhà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không để ở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thông qua các thể chế tiền tệ dùng cho mục đích lấy các quyền sử dụng đất hoặc nhà không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không thế chấp thương mại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đối với cá nhân vì mục đích kinh doanh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dự trữ và các cam kết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đảm bảo và cung cấp thư tín dụng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chấp thuận thanh toán được thỏa </w:t>
            </w:r>
            <w:r w:rsidRPr="00DC4B79">
              <w:rPr>
                <w:rFonts w:ascii="Arial" w:eastAsia="Times New Roman" w:hAnsi="Arial" w:cs="Arial"/>
                <w:color w:val="000000"/>
                <w:sz w:val="18"/>
                <w:szCs w:val="18"/>
                <w:lang w:val="vi-VN"/>
              </w:rPr>
              <w:lastRenderedPageBreak/>
              <w:t>thuận bởi một ngân hàng hoặc thể chế tài chính khác để trả một ngân phiếu hoặc một công cụ tín dụng được phát hành bởi một thể chế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thẻ tín dụng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Cấp tín dụng bởi các thể chế tiền tệ khi người nắm giữ một thẻ tín dụng sử dụng nó để mua hàng hóa hoặc dịch vụ, không tính đến việc cân đối phải hoàn thành vào cuối thời hạn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khác bởi các thể chế tiền tệ chưa được phân vào đâu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công ty nắm giữ tài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của các tổ chức nắm giữ tài sản của các công ty phụ thuộc và quản lý các công ty đó</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quỹ tín thác, các quỹ và các tổ chức tài chính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của các đơn vị pháp nhân được thành lập để góp chung chứng khoán và các tài sản tài chính khác, là đại diện của các cổ đông hay người hưởng lợi nhưng không tham gia quản lý.</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tài chính khác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liên ngành,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tiêu dùng,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cấp các khoản cho vay cá nhân không cần thế chấp không thông qua các thể chế tiền tệ Gồm: việc cấp tín dụng theo một kế hoạch thanh toán đã được lập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cho vay trong phạm vi hoạt động của tín dụng, dựa trên cam kết cho </w:t>
            </w:r>
            <w:r w:rsidRPr="00DC4B79">
              <w:rPr>
                <w:rFonts w:ascii="Arial" w:eastAsia="Times New Roman" w:hAnsi="Arial" w:cs="Arial"/>
                <w:color w:val="000000"/>
                <w:sz w:val="18"/>
                <w:szCs w:val="18"/>
                <w:lang w:val="vi-VN"/>
              </w:rPr>
              <w:lastRenderedPageBreak/>
              <w:t>vay vốn với một số lượng nhất định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để ở,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không thông qua các thể chế tiền tệ dùng cho mục đích lấy các quyền sử dụng đất hoặc nhà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Vay ký quĩ nhà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không để ở,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không thông qua các thể chế tiền tệ dùng cho mục đích lấy các quyền sử dụng đất hoặc nhà không để ở được sử dụng trong giao dịch Nhóm này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phi thế chấp thương mại,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cho vay không thông qua các thể chế tiền tệ đến các nhà đầu tư và môi giới, liên quan đến các thể chế tài chính, chính quyền địa phương, liên kết các trường học, chính phủ nước </w:t>
            </w:r>
            <w:r w:rsidRPr="00DC4B79">
              <w:rPr>
                <w:rFonts w:ascii="Arial" w:eastAsia="Times New Roman" w:hAnsi="Arial" w:cs="Arial"/>
                <w:color w:val="000000"/>
                <w:sz w:val="18"/>
                <w:szCs w:val="18"/>
                <w:lang w:val="vi-VN"/>
              </w:rPr>
              <w:lastRenderedPageBreak/>
              <w:t>ngoài và các nhà kinh doanh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đối với cá nhân vì mục đích kinh doanh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dự trữ và các cam kết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đảm bảo và cung cấp thư tín dụng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chấp thuận thanh toán được thỏa thuận bởi một ngân hàng hoặc thể chế tài chính khác để trả một ngân phiếu hoặc một công cụ tín dụng được phát hành bởi một thể chế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5492006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thẻ tín dụng,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 không phải bởi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khác không qua các thể chế tiền tệ chưa được phân vào đâu</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tài chính bán hàng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 chưa được phân vào đâu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đảm số lượng phát hành chứng khoán ở một mức giá nhất định từ lúc công ty hoặc chính phủ phát hành và bán lại cho nhà đầu tư</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Cam kết bán lượng phát hành chứng khoán nhiều ở mức có thể mà không cần bảo đảm mua toàn bộ lượng đề nghị của nhà đầu tư</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tài chính khác chưa được phân vào đâu, như dịch vụ bảo đảm và cam kết - mua hoặc bán chứng khoán hoặc những phát sinh tài chính trong tài khoản riêng của những nhà môi giới chứng khoán...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tái bảo hiểm và bảo hiểm xã hội (trừ bảo hiểm xã hội bắt buộc)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 trọn đời hoặc theo khoảng thời gian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Dịch vụ bảo hiểm cung cấp việc bồi thường rủi ro cho người hưởng lợi tùy theo chính sách bảo hiểm trọn đời hay theo khoảng thời gian. Chính sách này có thể đơn thuần là việc bảo vệ hoặc có </w:t>
            </w:r>
            <w:r w:rsidRPr="00DC4B79">
              <w:rPr>
                <w:rFonts w:ascii="Arial" w:eastAsia="Times New Roman" w:hAnsi="Arial" w:cs="Arial"/>
                <w:color w:val="000000"/>
                <w:sz w:val="18"/>
                <w:szCs w:val="18"/>
                <w:lang w:val="vi-VN"/>
              </w:rPr>
              <w:lastRenderedPageBreak/>
              <w:t>thể chỉ là một hình thức tiết kiệm. Chính sách này có thể áp dụng cho cá nhân hoặc một tổ chức.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niên kim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tử kỳ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sinh kỳ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hỗn hợp, bảo hiểm liên kết đầu tư...</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phi nhân thọ</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tài sản, thiệt hại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xe có động cơ</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tàu thủy, máy bay và phương tiện giao thông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tài sản và thiệt lại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đường bộ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5512022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đường thủy, hàng không và loại hình vận chuyển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nông nghiệp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cây trồng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vật nuôi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nông nghiệp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6512040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xây dựng và lắp đặt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du lịch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tín dụng và bảo lãnh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651207</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6512071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 dân sự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5612072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 chung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phi nhân thọ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dịch vụ bảo hiểm phi nhân thọ khác chưa được phân vào đâu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sức khỏe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y tế</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sức khỏe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bảo hiểm cung cấp các chi phí </w:t>
            </w:r>
            <w:r w:rsidRPr="00DC4B79">
              <w:rPr>
                <w:rFonts w:ascii="Arial" w:eastAsia="Times New Roman" w:hAnsi="Arial" w:cs="Arial"/>
                <w:color w:val="000000"/>
                <w:sz w:val="18"/>
                <w:szCs w:val="18"/>
                <w:lang w:val="vi-VN"/>
              </w:rPr>
              <w:lastRenderedPageBreak/>
              <w:t>bệnh viện và thuốc men không nằm trong chương trình của chính phủ và thường là các chi phí chăm sóc sức khỏe khác như thuốc kê đơn, ứng dụng y tế, cấp cứu, điều dưỡng tư nhân...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nha khoa</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chi trả thường kỳ cho người được bảo hiểm không thể làm việc vì ốm đau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tai nạn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cung cấp việc chi trả định kỳ khi người được bảo hiểm không thể làm việc vì lý do tai nạn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 Dịch vụ bảo hiểm du lịch, được phân vào nhóm 6512050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sức khỏe khác trừ bảo hiểm tai nạn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bảo hiểm cung cấp các chi phí bệnh viện và thuốc men không nằm trong chương trình của chính phủ và thường là các chi phí chăm sóc sức khỏe </w:t>
            </w:r>
            <w:r w:rsidRPr="00DC4B79">
              <w:rPr>
                <w:rFonts w:ascii="Arial" w:eastAsia="Times New Roman" w:hAnsi="Arial" w:cs="Arial"/>
                <w:color w:val="000000"/>
                <w:sz w:val="18"/>
                <w:szCs w:val="18"/>
                <w:lang w:val="vi-VN"/>
              </w:rPr>
              <w:lastRenderedPageBreak/>
              <w:t>khác như thuốc kê đơn, ứng dụng y tế, cấp cứu, điều dưỡng tư nhân...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nha khoa</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chi trả thường kỳ cho người được bảo hiểm không thể làm việc vì ốm đau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tái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 cá nhân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 nhóm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bảo hiểm chi theo thời kỳ đến các thành viên của nhóm. Có thể là một sự phân phối đơn lẻ hoặc hàng loạt; có thể bắt buộc hoặc không bắt buộc, giá trị có thể được xác định danh</w:t>
            </w:r>
            <w:r w:rsidRPr="00DC4B79">
              <w:rPr>
                <w:rFonts w:ascii="Arial" w:eastAsia="Times New Roman" w:hAnsi="Arial" w:cs="Arial"/>
                <w:color w:val="000000"/>
                <w:sz w:val="18"/>
                <w:szCs w:val="18"/>
                <w:u w:val="single"/>
                <w:lang w:val="vi-VN"/>
              </w:rPr>
              <w:t> </w:t>
            </w:r>
            <w:r w:rsidRPr="00DC4B79">
              <w:rPr>
                <w:rFonts w:ascii="Arial" w:eastAsia="Times New Roman" w:hAnsi="Arial" w:cs="Arial"/>
                <w:color w:val="000000"/>
                <w:sz w:val="18"/>
                <w:szCs w:val="18"/>
                <w:lang w:val="vi-VN"/>
              </w:rPr>
              <w:t xml:space="preserve">nghĩa hoặc theo thị trường; nếu liên quan đến việc làm - có thể </w:t>
            </w:r>
            <w:r w:rsidRPr="00DC4B79">
              <w:rPr>
                <w:rFonts w:ascii="Arial" w:eastAsia="Times New Roman" w:hAnsi="Arial" w:cs="Arial"/>
                <w:color w:val="000000"/>
                <w:sz w:val="18"/>
                <w:szCs w:val="18"/>
                <w:lang w:val="vi-VN"/>
              </w:rPr>
              <w:lastRenderedPageBreak/>
              <w:t>hoặc không thể thay đổi việc làm. Thời kỳ mà người hưởng lợi được trả có thể được cố định ở mức tối thiểu hoặc tối đa; có hoặc không có trợ cấp cho người còn sống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dịch vụ tài chính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liên quan đến quản lý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hành chính bao gồm việc cung cấp mặt bằng và các phương tiện cần thiết khác cho hoạt động của giao dịch chứng khoán và hàng hóa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tiết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điều chỉnh và kiểm soát thị trường tài chính và các thành viên trong thị trường này</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khác liên quan đến quản lý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cung cấp tin tức tài chính cho giới truyền thông, được phân vào nhóm 639010;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hộ chứng khoán, được phân vào nhóm 6619032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môi giới hợp đồng hàng </w:t>
            </w:r>
            <w:r w:rsidRPr="00DC4B79">
              <w:rPr>
                <w:rFonts w:ascii="Arial" w:eastAsia="Times New Roman" w:hAnsi="Arial" w:cs="Arial"/>
                <w:color w:val="000000"/>
                <w:sz w:val="18"/>
                <w:szCs w:val="18"/>
                <w:lang w:val="vi-VN"/>
              </w:rPr>
              <w:lastRenderedPageBreak/>
              <w:t>hóa và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(người bán và người mua cùng đưa ra một công cụ) cho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hoạt động như một đại lý bán, cổ phần hoặc các lợi ích khác nằm trong quỹ chung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phân phối và mua lại trái phiếu chính phủ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Lựa chọn môi giới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hàng hóa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hàng hóa và hàng hóa trả sau gồm: cả hàng hóa tài chính trả sau...</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Lựa chọn môi giới, được phân vào 6612001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xử lý và làm rõ các giao dịch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Dựa trên máy tính làm rõ và giải quyết các thay đổi của các khoản tiền gửi, tín dụng và giao dịch của chủ sở hữu chứng khoán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liên quan đến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thôn tính và sáp nhập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Dịch vụ hướng dẫn và thương lượng </w:t>
            </w:r>
            <w:r w:rsidRPr="00DC4B79">
              <w:rPr>
                <w:rFonts w:ascii="Arial" w:eastAsia="Times New Roman" w:hAnsi="Arial" w:cs="Arial"/>
                <w:color w:val="000000"/>
                <w:sz w:val="18"/>
                <w:szCs w:val="18"/>
                <w:lang w:val="vi-VN"/>
              </w:rPr>
              <w:lastRenderedPageBreak/>
              <w:t>trong việc sắp xếp thôn tính và sáp nhập</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vốn công ty và đầu tư vốn mạo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sắp xếp huy động vốn gồm: tiền gửi, vốn chủ sở hữu, vốn đầu tư mạo hiểm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huy động vốn mạo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liên quan đến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công bố giá cổ phiếu thông qua một nhà cung cấp thông tin, được phân vào nhóm 5819219</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cung cấp tin tức tài chính cho giới truyền thông, được phân vào nhóm 6391001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ủy thác và bảo hộ, được phân vào nhóm 661903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danh mục đầu tư, được phân vào nhóm 6630001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rPr>
              <w:t>661903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ủy thác và bảo hộ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ủy thác</w:t>
            </w:r>
          </w:p>
        </w:tc>
        <w:tc>
          <w:tcPr>
            <w:tcW w:w="90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và thực hiện việc đánh giá và ủy thác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người được ủy thác đối với quỹ đầu tư hoặc quỹ bảo hiểm xã hội</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người được ủy thác đối với chứng khoán (dịch vụ hành chính liên quan đến việc phát hành và đăng ký chứng khoán, trả lãi suất và cổ tức)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Dịch vụ quản lý quỹ được phân vào nhóm 663000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hướng dẫn, cung cấp dịch vụ bảo vệ hoặc việc tính toán về giá trị thu nhập bao hàm cả tài sản cá nhân và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vệ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cất giữ ở nơi an toàn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hộ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chứng thực kiểm toán trên cơ sở tôn trọng chứng khoán của khách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tài chính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phân tích và thu thập thông tin thị trường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thôn tính và sát nhập, được phân vào nhóm 6619021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huy động tài chính và vốn mạo hiểm, được phân vào nhóm 6619022</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ủy thác và bảo hộ, được phân vào nhóm 661903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tư vấn bảo hiểm và bảo hiểm xã </w:t>
            </w:r>
            <w:r w:rsidRPr="00DC4B79">
              <w:rPr>
                <w:rFonts w:ascii="Arial" w:eastAsia="Times New Roman" w:hAnsi="Arial" w:cs="Arial"/>
                <w:color w:val="000000"/>
                <w:sz w:val="18"/>
                <w:szCs w:val="18"/>
                <w:lang w:val="vi-VN"/>
              </w:rPr>
              <w:lastRenderedPageBreak/>
              <w:t>hội, được phân vào nhóm 6629009</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quỹ đầu tư, được phân vào nhóm 6630001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các vấn đề về thuế, được phân vào nhóm 692003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quản lý tài chính (trừ thuế kinh doanh), được phân vào nhóm 7020021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hối đoái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hối đoái cung cấp bởi đơn vị kinh doanh ngoại hối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xử lý và thanh toán bù trừ các giao dịch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xử lý giao dịch chứng khoán, được phân vào nhóm 6619010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nợ và thế chấp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đóng gói tiền giấy và tiền xu, được phân vào nhóm 8292000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bảo hiểm và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đánh giá rủi ro và thiệt hại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điều tra về những bồi thường bảo hiểm, xác định lượng mất hoặc hư hỏng theo như quy định của bảo hiểm và các điều khoản thương lượng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kiểm tra các bồi thường mà đã được kiểm tra hoặc được phép chi trả</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đại lý và môi giới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thương lượng hoặc thu hút các chính sách bảo hiểm hàng năm và tái bảo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bảo hiểm và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thống kê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tính toán rủi ro bảo hiểm và phí bảo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bảo hiểm và bảo hiểm xã hội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hành chính của bảo hiểm và bảo hiểm xã hội</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tiết kiệm hành chính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bảo hiểm và bảo hiểm xã hội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quỹ</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quản lý danh mục đầu tư </w:t>
            </w:r>
            <w:r w:rsidRPr="00DC4B79">
              <w:rPr>
                <w:rFonts w:ascii="Arial" w:eastAsia="Times New Roman" w:hAnsi="Arial" w:cs="Arial"/>
                <w:color w:val="000000"/>
                <w:sz w:val="18"/>
                <w:szCs w:val="18"/>
                <w:lang w:val="vi-VN"/>
              </w:rPr>
              <w:lastRenderedPageBreak/>
              <w:t>(loại trừ quĩ BHXH)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Quản lý tài sản danh mục đầu tư của cá nhân, của các công ty..., trên cơ sở phí hoặc hợp đồng, trừ quỹ bảo hiểm xã hội. Nhà quản lý ra quyết định đầu tư mua hoặc bán. Ví dụ của quản lý danh mục đầu tư là các danh mục chung, các quỹ đầu tư khác hoặc ủy thác.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mua hoặc bán chứng khoán trên cơ sở phí giao dịch, được phân vào nhóm 6612001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về kế hoạch tài chính cá nhân không liên quan đến việc ra quyết định thay mặt khách hàng, được phân vào nhóm 6619041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quĩ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L</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KINH DOANH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 quyền sử dụng đất thuộc chủ sở hữu, chủ sử dụng hoặc đi thuê</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ở và quyền sử dụng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mua, bán nhà ở (chung cư, </w:t>
            </w:r>
            <w:r w:rsidRPr="00DC4B79">
              <w:rPr>
                <w:rFonts w:ascii="Arial" w:eastAsia="Times New Roman" w:hAnsi="Arial" w:cs="Arial"/>
                <w:color w:val="000000"/>
                <w:sz w:val="18"/>
                <w:szCs w:val="18"/>
                <w:lang w:val="vi-VN"/>
              </w:rPr>
              <w:lastRenderedPageBreak/>
              <w:t>không gắn với quyền sử dụng đất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ở gắn với quyền sử dụng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quyền sử dụng đất trống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và mua đất trống để ở trong trường hợp việc mua bán được xem là giao dịch cổ phiếu bởi người bán. Đất trống để ở này có thể gồm: nhiều lô đất nhỏ.</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Bất động sản phân lô theo cách rút thăm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Chia nhỏ hoặc cải tạo đất, được phân vào nhóm 4290024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w:t>
            </w:r>
          </w:p>
        </w:tc>
        <w:tc>
          <w:tcPr>
            <w:tcW w:w="3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và quyền sử dụng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gắn với QSD đất không để ở</w:t>
            </w:r>
          </w:p>
        </w:tc>
        <w:tc>
          <w:tcPr>
            <w:tcW w:w="90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và mua nhà và đất không để ở trong trường hợp việc mua bán được xem là giao dịch cổ phiếu bởi người bán, không phải là bán tài sản cố định. Ví dụ về bất động sản không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máy, văn phòng, nhà kho</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hát, các tòa nhà đa mục đích không phải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Bất động sản nông lâm nghiệp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Bất động sản tương tự</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Nhóm này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Xây bất động sản không để ở để bán, được phân vào nhóm 4100012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và mua quyền sử dụng đất trống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Cải tạo đất, được phân vào nhóm 431201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w:t>
            </w:r>
          </w:p>
        </w:tc>
        <w:tc>
          <w:tcPr>
            <w:tcW w:w="3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điều hành, quản lý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thuê bất động sản để ở bởi người chủ sở hữu hoặc người thuê theo hợp đồng cho người khác thuê:</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riêng, căn hộ</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sử dụng đa mục đích chủ yếu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Không gian được</w:t>
            </w:r>
            <w:r w:rsidRPr="00DC4B79">
              <w:rPr>
                <w:rFonts w:ascii="Arial" w:eastAsia="Times New Roman" w:hAnsi="Arial" w:cs="Arial"/>
                <w:color w:val="000000"/>
                <w:sz w:val="18"/>
                <w:szCs w:val="18"/>
              </w:rPr>
              <w:t> s</w:t>
            </w:r>
            <w:r w:rsidRPr="00DC4B79">
              <w:rPr>
                <w:rFonts w:ascii="Arial" w:eastAsia="Times New Roman" w:hAnsi="Arial" w:cs="Arial"/>
                <w:color w:val="000000"/>
                <w:sz w:val="18"/>
                <w:szCs w:val="18"/>
                <w:lang w:val="vi-VN"/>
              </w:rPr>
              <w:t>ở hữu theo thời gian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nhà ở được cung cấp bởi khách sạn, nhà khách, nhà nghỉ, ký túc xá, được phân vào nhóm 55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điều hành, quản lý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nhà và quyền sử dụng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đại lý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rPr>
              <w:t>6</w:t>
            </w:r>
            <w:r w:rsidRPr="00DC4B79">
              <w:rPr>
                <w:rFonts w:ascii="Arial" w:eastAsia="Times New Roman" w:hAnsi="Arial" w:cs="Arial"/>
                <w:color w:val="000000"/>
                <w:sz w:val="18"/>
                <w:szCs w:val="18"/>
                <w:lang w:val="vi-VN"/>
              </w:rPr>
              <w:t>810911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kết hợp với quyền sử dụng đất để ở trên cơ sở phí hoặc hợp đồng trừ bất động sản chủ sở hữu sử dụng theo thời gian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bán nhà chủ sở hữu sử dụng theo thời gian được </w:t>
            </w:r>
            <w:r w:rsidRPr="00DC4B79">
              <w:rPr>
                <w:rFonts w:ascii="Arial" w:eastAsia="Times New Roman" w:hAnsi="Arial" w:cs="Arial"/>
                <w:color w:val="000000"/>
                <w:sz w:val="18"/>
                <w:szCs w:val="18"/>
                <w:lang w:val="vi-VN"/>
              </w:rPr>
              <w:lastRenderedPageBreak/>
              <w:t>phân vào nhóm 6810912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và quyền sử dụng đất sử dụng theo thời gian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nhà và quyền sử dụng đất theo thời gian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quyền sử dụng đất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và kết hợp với đất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quyền sử dụng đất trống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và bất động sản để ở khác, trên cơ sở phí hoặc hợp đồng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chung cư đa chức năng (hoặc nhà đa mục đích mà mục đích chính là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di động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tập trung cho thuê</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ở trong cổ phần liên kết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theo thời gian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bất động sản công nghiệp và thương mại, nhà sử dụng đa mục đích mà mục đích chủ yếu không phải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bất động sản trong nông lâm nghiệp và tương tự</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cung cấp các phương tiện (dịch vụ kết hợp như vệ sinh bên trong tòa nhà, duy trì và sửa </w:t>
            </w:r>
            <w:r w:rsidRPr="00DC4B79">
              <w:rPr>
                <w:rFonts w:ascii="Arial" w:eastAsia="Times New Roman" w:hAnsi="Arial" w:cs="Arial"/>
                <w:color w:val="000000"/>
                <w:sz w:val="18"/>
                <w:szCs w:val="18"/>
                <w:lang w:val="vi-VN"/>
              </w:rPr>
              <w:lastRenderedPageBreak/>
              <w:t>chữa những lỗi nhỏ, thu gom rác thải, bảo vệ) được phân vào nhóm 8110000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Quản lý các cơ sở vật chất như căn cứ quân sự, nhà tù, và các cơ sở khác (trừ quản lý thiết bị máy tính), được phân vào nhóm 8110000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các phương tiện thể thao và thể thao giải trí, được phân vào nhóm 9311000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môi giới, đấu giá bất động sản, đấu giá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môi giới bất động sản,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đánh giá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thu phí giao dịch bất động sản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Sàn giao dịch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đấu giá bất động sản,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bl>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i/>
          <w:iCs/>
          <w:color w:val="000000"/>
          <w:sz w:val="18"/>
          <w:szCs w:val="18"/>
          <w:lang w:val="vi-VN"/>
        </w:rPr>
        <w:t>Ghi chú:</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Phụ lục Danh mục hàng hóa, dịch vụ không được giảm thuế giá trị gia tăng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Mã số HS ở cột (10) chỉ để tra cứu. Việc xác định mã số HS đối với hàng hóa thực tế nhập khẩu thực hiện theo quy định về phân loại hàng hóa tại Luật Hải quan và các văn bản quy phạm pháp luật hướng dẫn thi hành Luật Hải quan.</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Các dòng hàng có ký hiệu (*) ở cột (10), thực hiện khai báo mã số HS theo thực tế hàng hóa nhập khẩu.</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rPr>
        <w:t> </w:t>
      </w:r>
    </w:p>
    <w:p w:rsidR="007F7F13" w:rsidRDefault="00A119D9"/>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B79"/>
    <w:rsid w:val="00A119D9"/>
    <w:rsid w:val="00D86AED"/>
    <w:rsid w:val="00DC4B79"/>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C06F6-82B5-4F08-B162-66CE18A1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B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13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8271</Words>
  <Characters>47146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2025-08-01T02:31:00Z</dcterms:created>
  <dcterms:modified xsi:type="dcterms:W3CDTF">2025-08-01T02:31:00Z</dcterms:modified>
</cp:coreProperties>
</file>