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2FCF"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Phụ lục số 02</w:t>
      </w:r>
    </w:p>
    <w:p w14:paraId="2BB80872" w14:textId="77777777" w:rsidR="006E5094" w:rsidRPr="00F15AA7" w:rsidRDefault="006E5094" w:rsidP="006E5094">
      <w:pPr>
        <w:adjustRightInd w:val="0"/>
        <w:snapToGrid w:val="0"/>
        <w:spacing w:after="0" w:line="240" w:lineRule="auto"/>
        <w:jc w:val="center"/>
        <w:rPr>
          <w:rFonts w:ascii="Arial" w:hAnsi="Arial" w:cs="Arial"/>
        </w:rPr>
      </w:pPr>
      <w:bookmarkStart w:id="0" w:name="chuong_pl_2_name"/>
      <w:r w:rsidRPr="00F15AA7">
        <w:rPr>
          <w:rFonts w:ascii="Arial" w:hAnsi="Arial" w:cs="Arial"/>
          <w:b/>
          <w:bCs/>
        </w:rPr>
        <w:t xml:space="preserve">MẪU BẢN CÁO BẠCH CHÀO BÁN THÊM CỔ PHIẾU </w:t>
      </w:r>
      <w:r w:rsidRPr="00F15AA7">
        <w:rPr>
          <w:rFonts w:ascii="Arial" w:hAnsi="Arial" w:cs="Arial"/>
          <w:b/>
          <w:bCs/>
        </w:rPr>
        <w:br/>
        <w:t>RA CÔNG CHÚNG CỦA CÔNG TY ĐẠI CHÚNG</w:t>
      </w:r>
      <w:bookmarkEnd w:id="0"/>
    </w:p>
    <w:p w14:paraId="4E28B4C9"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0AAC65C7" w14:textId="77777777" w:rsidR="006E5094" w:rsidRPr="00F15AA7" w:rsidRDefault="006E5094" w:rsidP="006E5094">
      <w:pPr>
        <w:adjustRightInd w:val="0"/>
        <w:snapToGrid w:val="0"/>
        <w:jc w:val="center"/>
        <w:rPr>
          <w:rFonts w:ascii="Arial" w:hAnsi="Arial" w:cs="Arial"/>
        </w:rPr>
      </w:pPr>
      <w:r w:rsidRPr="00F15AA7">
        <w:rPr>
          <w:rFonts w:ascii="Arial" w:hAnsi="Arial" w:cs="Arial"/>
        </w:rPr>
        <w:t>(trang bìa)</w:t>
      </w:r>
    </w:p>
    <w:p w14:paraId="12C94635" w14:textId="77777777" w:rsidR="006E5094" w:rsidRPr="00F15AA7" w:rsidRDefault="006E5094" w:rsidP="006E5094">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6E5094" w:rsidRPr="00F15AA7" w14:paraId="15E43407"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E971A99"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14:paraId="6EACBF37" w14:textId="77777777" w:rsidR="006E5094" w:rsidRPr="00F15AA7" w:rsidRDefault="006E5094" w:rsidP="006E5094">
      <w:pPr>
        <w:adjustRightInd w:val="0"/>
        <w:snapToGrid w:val="0"/>
        <w:spacing w:after="0" w:line="240" w:lineRule="auto"/>
        <w:jc w:val="center"/>
        <w:rPr>
          <w:rFonts w:ascii="Arial" w:hAnsi="Arial" w:cs="Arial"/>
          <w:b/>
          <w:bCs/>
        </w:rPr>
      </w:pPr>
    </w:p>
    <w:p w14:paraId="7430968A"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 xml:space="preserve">BẢN CÁO BẠCH </w:t>
      </w:r>
    </w:p>
    <w:p w14:paraId="070C2C30"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CÔNG TY ABC</w:t>
      </w:r>
    </w:p>
    <w:p w14:paraId="7907F13F"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40BEE67D"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769D12C3" w14:textId="77777777" w:rsidR="006E5094" w:rsidRPr="00F15AA7" w:rsidRDefault="006E5094" w:rsidP="006E5094">
      <w:pPr>
        <w:adjustRightInd w:val="0"/>
        <w:snapToGrid w:val="0"/>
        <w:spacing w:after="0" w:line="240" w:lineRule="auto"/>
        <w:jc w:val="center"/>
        <w:rPr>
          <w:rFonts w:ascii="Arial" w:hAnsi="Arial" w:cs="Arial"/>
          <w:b/>
          <w:bCs/>
        </w:rPr>
      </w:pPr>
    </w:p>
    <w:p w14:paraId="02E5BC61"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CHÀO BÁN THÊM CỔ PHIẾU RA CÔNG CHỨNG</w:t>
      </w:r>
    </w:p>
    <w:p w14:paraId="42787A54"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 tháng ... năm ...)</w:t>
      </w:r>
    </w:p>
    <w:p w14:paraId="22F9BEFD" w14:textId="77777777" w:rsidR="006E5094" w:rsidRPr="00F15AA7" w:rsidRDefault="006E5094" w:rsidP="006E5094">
      <w:pPr>
        <w:adjustRightInd w:val="0"/>
        <w:snapToGrid w:val="0"/>
        <w:spacing w:after="0" w:line="240" w:lineRule="auto"/>
        <w:jc w:val="center"/>
        <w:rPr>
          <w:rFonts w:ascii="Arial" w:hAnsi="Arial" w:cs="Arial"/>
          <w:b/>
          <w:bCs/>
        </w:rPr>
      </w:pPr>
    </w:p>
    <w:p w14:paraId="6220AB8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hoặc </w:t>
      </w:r>
      <w:r w:rsidRPr="00F15AA7">
        <w:rPr>
          <w:rFonts w:ascii="Arial" w:hAnsi="Arial" w:cs="Arial"/>
          <w:b/>
          <w:bCs/>
        </w:rPr>
        <w:t>ĐẠI LÝ PHÂN PHỐI:</w:t>
      </w:r>
    </w:p>
    <w:p w14:paraId="1A62308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Công ty:……………..………………..</w:t>
      </w:r>
    </w:p>
    <w:p w14:paraId="43ED02B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w:t>
      </w:r>
    </w:p>
    <w:p w14:paraId="768CEAA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Công ty: ……………..………………..</w:t>
      </w:r>
    </w:p>
    <w:p w14:paraId="17123AB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Công ty: ……………..………………..</w:t>
      </w:r>
    </w:p>
    <w:p w14:paraId="3164687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 xml:space="preserve">Bản cáo bạch này và các phụ lục của Bản cáo bạch sẽ được cung cấp tại:….. từ ngày:….. </w:t>
      </w:r>
    </w:p>
    <w:p w14:paraId="74083DB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7B35C22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Họ tên: ……………..………………..</w:t>
      </w:r>
    </w:p>
    <w:p w14:paraId="5865E5B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Chức vụ: ……………..……………..</w:t>
      </w:r>
    </w:p>
    <w:p w14:paraId="582AD3C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Số điện thoại: ……………..……….</w:t>
      </w:r>
    </w:p>
    <w:p w14:paraId="7E0B76D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(trang bìa)</w:t>
      </w:r>
    </w:p>
    <w:p w14:paraId="18DC3356" w14:textId="77777777" w:rsidR="006E5094" w:rsidRPr="00F15AA7" w:rsidRDefault="006E5094" w:rsidP="006E5094">
      <w:pPr>
        <w:adjustRightInd w:val="0"/>
        <w:snapToGrid w:val="0"/>
        <w:spacing w:after="0" w:line="240" w:lineRule="auto"/>
        <w:jc w:val="center"/>
        <w:rPr>
          <w:rFonts w:ascii="Arial" w:hAnsi="Arial" w:cs="Arial"/>
          <w:b/>
          <w:bCs/>
        </w:rPr>
      </w:pPr>
    </w:p>
    <w:p w14:paraId="52AA3A7D"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CÔNG TY ABC</w:t>
      </w:r>
    </w:p>
    <w:p w14:paraId="6792BBDA"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 cấp ngày...tháng...năm..., Giấy </w:t>
      </w:r>
      <w:r w:rsidRPr="00F15AA7">
        <w:rPr>
          <w:rFonts w:ascii="Arial" w:hAnsi="Arial" w:cs="Arial"/>
          <w:i/>
          <w:iCs/>
        </w:rPr>
        <w:br/>
        <w:t xml:space="preserve">phép thành lập và hoạt động số... do... cấp ngày ...tháng ...năm... hoặc Giấy tờ pháp </w:t>
      </w:r>
      <w:r w:rsidRPr="00F15AA7">
        <w:rPr>
          <w:rFonts w:ascii="Arial" w:hAnsi="Arial" w:cs="Arial"/>
          <w:i/>
          <w:iCs/>
        </w:rPr>
        <w:br/>
        <w:t>lý có giá trị tương đương)</w:t>
      </w:r>
    </w:p>
    <w:p w14:paraId="033D905C"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6BD7DE0E" w14:textId="77777777" w:rsidR="006E5094" w:rsidRPr="00F15AA7" w:rsidRDefault="006E5094" w:rsidP="006E5094">
      <w:pPr>
        <w:adjustRightInd w:val="0"/>
        <w:snapToGrid w:val="0"/>
        <w:spacing w:after="0" w:line="240" w:lineRule="auto"/>
        <w:jc w:val="center"/>
        <w:rPr>
          <w:rFonts w:ascii="Arial" w:hAnsi="Arial" w:cs="Arial"/>
          <w:b/>
          <w:bCs/>
        </w:rPr>
      </w:pPr>
    </w:p>
    <w:p w14:paraId="536EA79D" w14:textId="77777777" w:rsidR="006E5094" w:rsidRPr="00F15AA7" w:rsidRDefault="006E5094" w:rsidP="006E5094">
      <w:pPr>
        <w:adjustRightInd w:val="0"/>
        <w:snapToGrid w:val="0"/>
        <w:spacing w:after="0" w:line="240" w:lineRule="auto"/>
        <w:jc w:val="center"/>
        <w:rPr>
          <w:rFonts w:ascii="Arial" w:hAnsi="Arial" w:cs="Arial"/>
        </w:rPr>
      </w:pPr>
      <w:r w:rsidRPr="00F15AA7">
        <w:rPr>
          <w:rFonts w:ascii="Arial" w:hAnsi="Arial" w:cs="Arial"/>
          <w:b/>
          <w:bCs/>
        </w:rPr>
        <w:t>CHÀO BÁN THÊM CỔ PHIẾU RA CÔNG CHÚNG</w:t>
      </w:r>
    </w:p>
    <w:p w14:paraId="57210B6C" w14:textId="77777777" w:rsidR="006E5094" w:rsidRPr="00F15AA7" w:rsidRDefault="006E5094" w:rsidP="006E5094">
      <w:pPr>
        <w:adjustRightInd w:val="0"/>
        <w:snapToGrid w:val="0"/>
        <w:spacing w:after="0" w:line="240" w:lineRule="auto"/>
        <w:jc w:val="center"/>
        <w:rPr>
          <w:rFonts w:ascii="Arial" w:hAnsi="Arial" w:cs="Arial"/>
          <w:b/>
          <w:bCs/>
        </w:rPr>
      </w:pPr>
    </w:p>
    <w:p w14:paraId="29C022D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Tên cổ phiếu: Cổ phiếu</w:t>
      </w:r>
      <w:r w:rsidRPr="00F15AA7">
        <w:rPr>
          <w:rFonts w:ascii="Arial" w:hAnsi="Arial" w:cs="Arial"/>
        </w:rPr>
        <w:t xml:space="preserve">…………. </w:t>
      </w:r>
      <w:r w:rsidRPr="00F15AA7">
        <w:rPr>
          <w:rFonts w:ascii="Arial" w:hAnsi="Arial" w:cs="Arial"/>
          <w:i/>
          <w:iCs/>
        </w:rPr>
        <w:t>(tên Tổ chức phát hành)</w:t>
      </w:r>
    </w:p>
    <w:p w14:paraId="4B04C46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Loại cổ phiếu:</w:t>
      </w:r>
    </w:p>
    <w:p w14:paraId="10EF95C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Mệnh giá: 10.000 đồng/cổ phiếu</w:t>
      </w:r>
    </w:p>
    <w:p w14:paraId="5251145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Giá chào bán:…. đồng/cổ phiếu</w:t>
      </w:r>
    </w:p>
    <w:p w14:paraId="0B86E1F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Tổng số lượng cổ phiếu chào bán:</w:t>
      </w:r>
    </w:p>
    <w:p w14:paraId="5096B031" w14:textId="77777777" w:rsidR="006E5094" w:rsidRPr="00F15AA7" w:rsidRDefault="006E5094" w:rsidP="006E5094">
      <w:pPr>
        <w:adjustRightInd w:val="0"/>
        <w:snapToGrid w:val="0"/>
        <w:ind w:firstLine="720"/>
        <w:jc w:val="both"/>
        <w:rPr>
          <w:rFonts w:ascii="Arial" w:hAnsi="Arial" w:cs="Arial"/>
          <w:b/>
          <w:bCs/>
        </w:rPr>
      </w:pPr>
      <w:r w:rsidRPr="00F15AA7">
        <w:rPr>
          <w:rFonts w:ascii="Arial" w:hAnsi="Arial" w:cs="Arial"/>
          <w:b/>
          <w:bCs/>
        </w:rPr>
        <w:t>Tổng giá trị cổ phiếu chào bán theo mệnh giá:</w:t>
      </w:r>
    </w:p>
    <w:p w14:paraId="3FF2393E" w14:textId="77777777" w:rsidR="006E5094" w:rsidRPr="00F15AA7" w:rsidRDefault="006E5094" w:rsidP="006E5094">
      <w:pPr>
        <w:adjustRightInd w:val="0"/>
        <w:snapToGrid w:val="0"/>
        <w:spacing w:line="240" w:lineRule="auto"/>
        <w:ind w:firstLine="720"/>
        <w:jc w:val="both"/>
        <w:rPr>
          <w:rFonts w:ascii="Arial" w:hAnsi="Arial" w:cs="Arial"/>
        </w:rPr>
      </w:pPr>
    </w:p>
    <w:p w14:paraId="4A8AD98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hoặc ĐẠI LÝ PHÂN PHỐI</w:t>
      </w:r>
      <w:r w:rsidRPr="00F15AA7">
        <w:rPr>
          <w:rFonts w:ascii="Arial" w:hAnsi="Arial" w:cs="Arial"/>
        </w:rPr>
        <w:t>:</w:t>
      </w:r>
    </w:p>
    <w:p w14:paraId="4BC7563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3942B3AD" w14:textId="77777777" w:rsidR="006E5094" w:rsidRPr="00F15AA7" w:rsidRDefault="006E5094" w:rsidP="006E5094">
      <w:pPr>
        <w:adjustRightInd w:val="0"/>
        <w:snapToGrid w:val="0"/>
        <w:ind w:firstLine="720"/>
        <w:jc w:val="both"/>
        <w:rPr>
          <w:rFonts w:ascii="Arial" w:hAnsi="Arial" w:cs="Arial"/>
          <w:b/>
          <w:bCs/>
        </w:rPr>
      </w:pPr>
    </w:p>
    <w:p w14:paraId="4EF3C2D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TỔ CHỨC ĐỒNG BẢO LÃNH PHÁT HÀNH </w:t>
      </w:r>
      <w:r w:rsidRPr="00F15AA7">
        <w:rPr>
          <w:rFonts w:ascii="Arial" w:hAnsi="Arial" w:cs="Arial"/>
          <w:i/>
          <w:iCs/>
        </w:rPr>
        <w:t>(trường hợp có tổ hợp bảo lãnh phát hành)</w:t>
      </w:r>
      <w:r w:rsidRPr="00F15AA7">
        <w:rPr>
          <w:rFonts w:ascii="Arial" w:hAnsi="Arial" w:cs="Arial"/>
        </w:rPr>
        <w:t>:</w:t>
      </w:r>
    </w:p>
    <w:p w14:paraId="7885DD5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428A01E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CÔNG TY :</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437852A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3…………… </w:t>
      </w:r>
    </w:p>
    <w:p w14:paraId="7A070EE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7BD2BB8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5E70481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TỔ CHỨC TƯ VẤN: </w:t>
      </w:r>
    </w:p>
    <w:p w14:paraId="148B4AF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3EC6C13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w:t>
      </w:r>
    </w:p>
    <w:p w14:paraId="69EE2CC5" w14:textId="77777777" w:rsidR="006E5094" w:rsidRPr="00F15AA7" w:rsidRDefault="006E5094" w:rsidP="006E5094">
      <w:pPr>
        <w:rPr>
          <w:rFonts w:ascii="Arial" w:hAnsi="Arial" w:cs="Arial"/>
          <w:b/>
          <w:bCs/>
        </w:rPr>
      </w:pPr>
      <w:r w:rsidRPr="00F15AA7">
        <w:rPr>
          <w:rFonts w:ascii="Arial" w:hAnsi="Arial" w:cs="Arial"/>
          <w:b/>
          <w:bCs/>
        </w:rPr>
        <w:br w:type="page"/>
      </w:r>
    </w:p>
    <w:p w14:paraId="713875B4" w14:textId="77777777" w:rsidR="006E5094" w:rsidRPr="00F15AA7" w:rsidRDefault="006E5094" w:rsidP="006E5094">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1E086910" w14:textId="77777777" w:rsidR="006E5094" w:rsidRPr="00F15AA7" w:rsidRDefault="006E5094" w:rsidP="006E5094">
      <w:pPr>
        <w:adjustRightInd w:val="0"/>
        <w:snapToGrid w:val="0"/>
        <w:spacing w:after="0" w:line="240" w:lineRule="auto"/>
        <w:jc w:val="center"/>
        <w:rPr>
          <w:rFonts w:ascii="Arial" w:hAnsi="Arial" w:cs="Arial"/>
        </w:rPr>
      </w:pPr>
    </w:p>
    <w:p w14:paraId="43B3493A" w14:textId="77777777" w:rsidR="006E5094" w:rsidRPr="00F15AA7" w:rsidRDefault="006E5094" w:rsidP="006E5094">
      <w:pPr>
        <w:adjustRightInd w:val="0"/>
        <w:snapToGrid w:val="0"/>
        <w:spacing w:line="240" w:lineRule="auto"/>
        <w:jc w:val="right"/>
        <w:rPr>
          <w:rFonts w:ascii="Arial" w:hAnsi="Arial" w:cs="Arial"/>
        </w:rPr>
      </w:pPr>
      <w:r w:rsidRPr="00F15AA7">
        <w:rPr>
          <w:rFonts w:ascii="Arial" w:hAnsi="Arial" w:cs="Arial"/>
          <w:b/>
          <w:bCs/>
        </w:rPr>
        <w:t>Trang</w:t>
      </w:r>
    </w:p>
    <w:p w14:paraId="500D1BA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21EB7B0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61DB00A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29B4C2F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16A91FD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w:t>
      </w:r>
    </w:p>
    <w:p w14:paraId="7137D40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 Thông tin về cổ đông sáng lập, cổ đông lớn, thành viên Hội đồng quản trị, Kiểm soát viên, Tổng giám đốc (Giám đốc), Phó Tổng giám đốc (Phó Giám đốc), Kế toán trưởng</w:t>
      </w:r>
    </w:p>
    <w:p w14:paraId="05CDBE4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VII. Thông tin về đợt chào bán</w:t>
      </w:r>
    </w:p>
    <w:p w14:paraId="41086F9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VIII. Mục đích chào bán</w:t>
      </w:r>
    </w:p>
    <w:p w14:paraId="7BAE0BF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IX. Kế hoạch sử dụng số tiền thu được từ đợt chào bán</w:t>
      </w:r>
    </w:p>
    <w:p w14:paraId="5F0DABD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 Các đối tác liên quan tới đợt chào bán</w:t>
      </w:r>
    </w:p>
    <w:p w14:paraId="2A8732D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XI. Các thông tin quan trọng khác có thể ảnh hưởng đến quyết định của nhà đầu tư</w:t>
      </w:r>
    </w:p>
    <w:p w14:paraId="1FB6887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p>
    <w:p w14:paraId="389D608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XIII. Phụ lục</w:t>
      </w:r>
    </w:p>
    <w:p w14:paraId="088D9A4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w:t>
      </w:r>
    </w:p>
    <w:p w14:paraId="3B63565A" w14:textId="77777777" w:rsidR="006E5094" w:rsidRPr="00F15AA7" w:rsidRDefault="006E5094" w:rsidP="006E5094">
      <w:pPr>
        <w:rPr>
          <w:rFonts w:ascii="Arial" w:hAnsi="Arial" w:cs="Arial"/>
          <w:b/>
          <w:bCs/>
        </w:rPr>
      </w:pPr>
      <w:r w:rsidRPr="00F15AA7">
        <w:rPr>
          <w:rFonts w:ascii="Arial" w:hAnsi="Arial" w:cs="Arial"/>
          <w:b/>
          <w:bCs/>
        </w:rPr>
        <w:br w:type="page"/>
      </w:r>
    </w:p>
    <w:p w14:paraId="6CF49103" w14:textId="77777777" w:rsidR="006E5094" w:rsidRPr="00F15AA7" w:rsidRDefault="006E5094" w:rsidP="006E5094">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7D6C0384" w14:textId="77777777" w:rsidR="006E5094" w:rsidRPr="00F15AA7" w:rsidRDefault="006E5094" w:rsidP="006E5094">
      <w:pPr>
        <w:adjustRightInd w:val="0"/>
        <w:snapToGrid w:val="0"/>
        <w:spacing w:after="0" w:line="240" w:lineRule="auto"/>
        <w:jc w:val="center"/>
        <w:rPr>
          <w:rFonts w:ascii="Arial" w:hAnsi="Arial" w:cs="Arial"/>
        </w:rPr>
      </w:pPr>
    </w:p>
    <w:p w14:paraId="33CFE0A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48EA50B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602670F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Ông/Bà:…………………. Chức vụ: Chủ tịch Hội đồng quản trị</w:t>
      </w:r>
    </w:p>
    <w:p w14:paraId="3DC8855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Ông/Bà:…………………. Chức vụ: Tổng giám đốc (Giám đốc)</w:t>
      </w:r>
    </w:p>
    <w:p w14:paraId="50AFB9F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Ông/Bà:…………………. Chức vụ: Kế toán trưởng (Giám đốc Tài chính)</w:t>
      </w:r>
    </w:p>
    <w:p w14:paraId="007CFE8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563D992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Tổ chức tư vấn</w:t>
      </w:r>
    </w:p>
    <w:p w14:paraId="1429164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Ông/Bà:....Chức vụ:…………….</w:t>
      </w:r>
    </w:p>
    <w:p w14:paraId="074988E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luật </w:t>
      </w:r>
      <w:r w:rsidRPr="00F15AA7">
        <w:rPr>
          <w:rFonts w:ascii="Arial" w:hAnsi="Arial" w:cs="Arial"/>
          <w:i/>
          <w:iCs/>
        </w:rPr>
        <w:t>(trường hợp đại diện được ủy quyền)</w:t>
      </w:r>
    </w:p>
    <w:p w14:paraId="2B16B6B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chào bán thêm cổ phiếu ra công chúng do……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 ngày ... tháng ... năm ... </w:t>
      </w:r>
      <w:r w:rsidRPr="00F15AA7">
        <w:rPr>
          <w:rFonts w:ascii="Arial" w:hAnsi="Arial" w:cs="Arial"/>
          <w:i/>
          <w:iCs/>
        </w:rPr>
        <w:t xml:space="preserve">(Hợp đồng bảo lãnh phát hành, Hợp đồng tư vấn) </w:t>
      </w:r>
      <w:r w:rsidRPr="00F15AA7">
        <w:rPr>
          <w:rFonts w:ascii="Arial" w:hAnsi="Arial" w:cs="Arial"/>
        </w:rPr>
        <w:t xml:space="preserve">với …… </w:t>
      </w:r>
      <w:r w:rsidRPr="00F15AA7">
        <w:rPr>
          <w:rFonts w:ascii="Arial" w:hAnsi="Arial" w:cs="Arial"/>
          <w:i/>
          <w:iCs/>
        </w:rPr>
        <w:t>(tên Tổ chức phát hành)</w:t>
      </w:r>
      <w:r w:rsidRPr="00F15AA7">
        <w:rPr>
          <w:rFonts w:ascii="Arial" w:hAnsi="Arial" w:cs="Arial"/>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sidRPr="00F15AA7">
        <w:rPr>
          <w:rFonts w:ascii="Arial" w:hAnsi="Arial" w:cs="Arial"/>
          <w:i/>
          <w:iCs/>
        </w:rPr>
        <w:t>(tên Tổ chức phát hành)</w:t>
      </w:r>
      <w:r w:rsidRPr="00F15AA7">
        <w:rPr>
          <w:rFonts w:ascii="Arial" w:hAnsi="Arial" w:cs="Arial"/>
        </w:rPr>
        <w:t xml:space="preserve"> cung cấp.</w:t>
      </w:r>
    </w:p>
    <w:p w14:paraId="216CD41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II. CÁC NHÂN TỐ RỦI RO </w:t>
      </w:r>
    </w:p>
    <w:p w14:paraId="67122E8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đợt chào bán, giá cổ phiếu chào bán, dự án sử dụng vốn thu được từ đợt chào bán. Các nhân tố rủi ro cần được phân loại và đặt tiêu đề phù hợp theo nhóm, sắp xếp theo thứ tự các nhân tố rủi ro có khả năng ảnh hưởng tiêu cực theo mức độ từ cao đến thấp.)</w:t>
      </w:r>
    </w:p>
    <w:p w14:paraId="3F8F002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6C04AFB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0AD6663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5E1AFD6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4C783A9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1.4. Rủi ro về đợt chào bán </w:t>
      </w:r>
      <w:r w:rsidRPr="00F15AA7">
        <w:rPr>
          <w:rFonts w:ascii="Arial" w:hAnsi="Arial" w:cs="Arial"/>
          <w:i/>
          <w:iCs/>
        </w:rPr>
        <w:t>(việc chào bán, dự án sử dụng vốn thu được từ đợt chào bán)</w:t>
      </w:r>
    </w:p>
    <w:p w14:paraId="3B6BF14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1.5. Rủi ro pha loãng</w:t>
      </w:r>
    </w:p>
    <w:p w14:paraId="3714A68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1.6. Rủi ro quản trị công ty</w:t>
      </w:r>
    </w:p>
    <w:p w14:paraId="2E468D6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1.7. Rủi ro khác </w:t>
      </w:r>
      <w:r w:rsidRPr="00F15AA7">
        <w:rPr>
          <w:rFonts w:ascii="Arial" w:hAnsi="Arial" w:cs="Arial"/>
          <w:i/>
          <w:iCs/>
        </w:rPr>
        <w:t>(thiên tai, dịch bệnh, chiến tranh, hỏa hoạn,..)</w:t>
      </w:r>
    </w:p>
    <w:p w14:paraId="63AB468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3CBDF6B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5EAEE1D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761AA54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7743B37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a) Rủi ro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7B49B7D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561DE56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53F692D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phát hành)</w:t>
      </w:r>
    </w:p>
    <w:p w14:paraId="356BDD3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d) Rủi ro thanh khoản </w:t>
      </w:r>
      <w:r w:rsidRPr="00F15AA7">
        <w:rPr>
          <w:rFonts w:ascii="Arial" w:hAnsi="Arial" w:cs="Arial"/>
          <w:i/>
          <w:iCs/>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0612F0D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e)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1FADF16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g) Rủi ro từ các hoạt động ngoại bảng </w:t>
      </w:r>
      <w:r w:rsidRPr="00F15AA7">
        <w:rPr>
          <w:rFonts w:ascii="Arial" w:hAnsi="Arial" w:cs="Arial"/>
          <w:i/>
          <w:iCs/>
        </w:rPr>
        <w:t>(phân tích các giao dịch kỳ hạn, các khoản cam kết cho vay, các khoản bảo lãnh L/C có khả năng ảnh hưởng đến tình hình tài chính của Tổ chức phát hành)</w:t>
      </w:r>
    </w:p>
    <w:p w14:paraId="6F129D9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3835556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2.4. Rủi ro về đợt chào bán </w:t>
      </w:r>
      <w:r w:rsidRPr="00F15AA7">
        <w:rPr>
          <w:rFonts w:ascii="Arial" w:hAnsi="Arial" w:cs="Arial"/>
          <w:i/>
          <w:iCs/>
        </w:rPr>
        <w:t>(việc chào bán, dự án sử dụng vốn thu được từ đợt chào bán)</w:t>
      </w:r>
    </w:p>
    <w:p w14:paraId="711ACB8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2.5. Rủi ro pha loãng</w:t>
      </w:r>
    </w:p>
    <w:p w14:paraId="2BFDE15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2.6. Rủi ro quản trị công ty</w:t>
      </w:r>
    </w:p>
    <w:p w14:paraId="45BA998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2.7. Rủi ro khác </w:t>
      </w:r>
      <w:r w:rsidRPr="00F15AA7">
        <w:rPr>
          <w:rFonts w:ascii="Arial" w:hAnsi="Arial" w:cs="Arial"/>
          <w:i/>
          <w:iCs/>
        </w:rPr>
        <w:t>(thiên tai, dịch bệnh, chiến tranh, hỏa hoạn...)</w:t>
      </w:r>
    </w:p>
    <w:p w14:paraId="22A192F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2B90A27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66B49B2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39B1C3D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Thông tin chung về Tổ chức phát hành</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mã cổ phiếu, sàn niêm yết/đăng ký giao dịch)</w:t>
      </w:r>
    </w:p>
    <w:p w14:paraId="73B22B2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Tổ chức phát hành</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Tổ chức phát hành)</w:t>
      </w:r>
    </w:p>
    <w:p w14:paraId="152E452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Cơ cấu tổ chức của Tổ chức phát hành</w:t>
      </w:r>
      <w:r w:rsidRPr="00F15AA7">
        <w:rPr>
          <w:rFonts w:ascii="Arial" w:hAnsi="Arial" w:cs="Arial"/>
        </w:rPr>
        <w:t xml:space="preserve"> </w:t>
      </w:r>
      <w:r w:rsidRPr="00F15AA7">
        <w:rPr>
          <w:rFonts w:ascii="Arial" w:hAnsi="Arial" w:cs="Arial"/>
          <w:b/>
          <w:bCs/>
        </w:rPr>
        <w:t xml:space="preserve">(và cơ cấu của nhóm công ty, nếu có) </w:t>
      </w:r>
      <w:r w:rsidRPr="00F15AA7">
        <w:rPr>
          <w:rFonts w:ascii="Arial" w:hAnsi="Arial" w:cs="Arial"/>
          <w:i/>
          <w:iCs/>
        </w:rPr>
        <w:t>(thể hiện bằng sơ đồ kèm theo diễn giải)</w:t>
      </w:r>
    </w:p>
    <w:p w14:paraId="2B205FE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Tổ chức phát hành</w:t>
      </w:r>
      <w:r w:rsidRPr="00F15AA7">
        <w:rPr>
          <w:rFonts w:ascii="Arial" w:hAnsi="Arial" w:cs="Arial"/>
        </w:rPr>
        <w:t xml:space="preserve"> </w:t>
      </w:r>
      <w:r w:rsidRPr="00F15AA7">
        <w:rPr>
          <w:rFonts w:ascii="Arial" w:hAnsi="Arial" w:cs="Arial"/>
          <w:i/>
          <w:iCs/>
        </w:rPr>
        <w:t>(thể hiện bằng sơ đồ kèm theo diễn giải)</w:t>
      </w:r>
    </w:p>
    <w:p w14:paraId="140C269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5. Thông tin về công ty mẹ, công ty con của Tổ chức phát hành, những công ty nắm quyền kiểm soát hoặc cổ phần chi phối đối với Tổ chức phát hành, những công ty mà Tổ chức phát hành nắm quyền kiểm soát hoặc cổ phần, phần vốn góp chi phối </w:t>
      </w:r>
      <w:r w:rsidRPr="00F15AA7">
        <w:rPr>
          <w:rFonts w:ascii="Arial" w:hAnsi="Arial" w:cs="Arial"/>
          <w:i/>
          <w:iCs/>
        </w:rPr>
        <w:t>(danh sách các công ty trong 02 năm liên tục liền trước năm đăng ký chào bán và đến thời điểm hiện tại, kèm theo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sở hữu và tỷ lệ biểu quyết của các công ty này tại Tổ chức phát hành, tỷ lệ sở hữu và tỷ lệ biểu quyết của Tổ chức phát hành tại các công ty này)</w:t>
      </w:r>
    </w:p>
    <w:p w14:paraId="31314A7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 xml:space="preserve">(thông tin về các đợt tăng, giảm vốn kể từ thời điểm hoạt động theo hình thức công ty cổ phần bao gồm thời điểm tăng/giảm vốn, giá trị vốn tăng/giảm, hình thức tăng/giảm vốn, đơn vị cấp, ý kiến của đơn vị kiểm toán (nếu có)) </w:t>
      </w:r>
    </w:p>
    <w:p w14:paraId="4B03A33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7. Thông tin về các khoản góp vốn, thoái vốn lớn của Tổ chức phát hành tại các doanh nghiệp khác</w:t>
      </w:r>
      <w:r w:rsidRPr="00F15AA7">
        <w:rPr>
          <w:rFonts w:ascii="Arial" w:hAnsi="Arial" w:cs="Arial"/>
        </w:rPr>
        <w:t xml:space="preserve"> </w:t>
      </w:r>
      <w:r w:rsidRPr="00F15AA7">
        <w:rPr>
          <w:rFonts w:ascii="Arial" w:hAnsi="Arial" w:cs="Arial"/>
          <w:i/>
          <w:iCs/>
        </w:rPr>
        <w:t>(nêu giá trị và phương thức thực hiện của các khoản góp vốn, thoái vốn trong 02 năm liên tục liền trước năm đăng ký chào bán và đến thời điểm hiện tại có giá trị từ 10% tổng tài sản trở lên được ghi trong báo cáo tài chính gần nhất của Tổ chức phát hành tại thời điểm thực hiện)</w:t>
      </w:r>
    </w:p>
    <w:p w14:paraId="6599F80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lastRenderedPageBreak/>
        <w:t>8. Thông tin về chứng khoán đang lưu hành</w:t>
      </w:r>
    </w:p>
    <w:p w14:paraId="5ECC3BF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8.1. Cổ phiếu phổ thông</w:t>
      </w:r>
      <w:r w:rsidRPr="00F15AA7">
        <w:rPr>
          <w:rFonts w:ascii="Arial" w:hAnsi="Arial" w:cs="Arial"/>
          <w:i/>
          <w:iCs/>
        </w:rPr>
        <w:t xml:space="preserve"> (nêu số lượng, tỷ lệ sở hữu của tổ chức, cá nhân trong nước, nước ngoài, tổ chức kinh tế có nhà đầu tư nước ngoài nắm giữ trên 50% vốn điều lệ)</w:t>
      </w:r>
    </w:p>
    <w:p w14:paraId="5C2476D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8.2. Cổ phiếu ưu đãi </w:t>
      </w:r>
      <w:r w:rsidRPr="00F15AA7">
        <w:rPr>
          <w:rFonts w:ascii="Arial" w:hAnsi="Arial" w:cs="Arial"/>
          <w:i/>
          <w:iCs/>
        </w:rPr>
        <w:t>(nêu số lượng, loại cổ phiếu, tỷ lệ sở hữu, tỷ lệ biểu quyết của tổ chức, cá nhân trong nước, nước ngoài, tổ chức kinh tế có nhà đầu tư nước ngoài nắm giữ trên 50% vốn điều lệ, các đặc điểm khác)</w:t>
      </w:r>
    </w:p>
    <w:p w14:paraId="7DF13F8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8.3. Các loại chứng khoán khác </w:t>
      </w:r>
      <w:r w:rsidRPr="00F15AA7">
        <w:rPr>
          <w:rFonts w:ascii="Arial" w:hAnsi="Arial" w:cs="Arial"/>
          <w:i/>
          <w:iCs/>
        </w:rPr>
        <w:t>(nêu số lượng, đặc điểm của từng loại)</w:t>
      </w:r>
    </w:p>
    <w:p w14:paraId="2B1FC55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9. Thông tin về tỷ lệ sở hữu nước ngoài</w:t>
      </w:r>
    </w:p>
    <w:p w14:paraId="7CE2483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Tổ chức phát hành theo quy định pháp luật;</w:t>
      </w:r>
    </w:p>
    <w:p w14:paraId="0FFA176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Tổ chức phát hành theo quyết định của Đại hội đồng cổ đông và quy định tại Điều lệ công ty (nếu có);</w:t>
      </w:r>
    </w:p>
    <w:p w14:paraId="086018E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Tỷ lệ sở hữu nước ngoài tại Tổ chức phát hành hiện tại.</w:t>
      </w:r>
    </w:p>
    <w:p w14:paraId="69A7BA3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10. Hoạt động kinh doanh</w:t>
      </w:r>
    </w:p>
    <w:p w14:paraId="629EE20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độc điểm ngành hoạt động)</w:t>
      </w:r>
    </w:p>
    <w:p w14:paraId="045347B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i/>
          <w:iCs/>
        </w:rPr>
        <w:t>10.1. Đối với Tổ chức phát hành không phải là tổ chức tín dụng</w:t>
      </w:r>
    </w:p>
    <w:p w14:paraId="09F42C4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10.1.1. Đặc điểm hoạt động kinh doanh</w:t>
      </w:r>
    </w:p>
    <w:p w14:paraId="7752602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w:t>
      </w:r>
    </w:p>
    <w:p w14:paraId="2E3E936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31A99FE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536901D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10.1.2. Tài sản </w:t>
      </w:r>
      <w:r w:rsidRPr="00F15AA7">
        <w:rPr>
          <w:rFonts w:ascii="Arial" w:hAnsi="Arial" w:cs="Arial"/>
          <w:i/>
          <w:iCs/>
        </w:rPr>
        <w:t>(nêu tên, nguyên giá, giá trị còn lại của từng tài sản lớn thuộc sở hữu của Tổ chức phát hành)</w:t>
      </w:r>
    </w:p>
    <w:p w14:paraId="7E787E8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10.1.3. Thị trường hoạt động</w:t>
      </w:r>
      <w:r w:rsidRPr="00F15AA7">
        <w:rPr>
          <w:rFonts w:ascii="Arial" w:hAnsi="Arial" w:cs="Arial"/>
          <w:i/>
          <w:iCs/>
        </w:rPr>
        <w:t xml:space="preserve"> (doanh thu, lợi nhuận theo từng thị trường)</w:t>
      </w:r>
    </w:p>
    <w:p w14:paraId="6F9AF0A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10.1.4. Báo cáo tình hình đầu tư, hiệu quả đầu tư, hiệu quả sản xuất kinh doanh, cung cấp dịch vụ trong các lĩnh vực hoạt động chính</w:t>
      </w:r>
    </w:p>
    <w:p w14:paraId="26105C4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10.1.5. Các hợp đồng lớn </w:t>
      </w:r>
      <w:r w:rsidRPr="00F15AA7">
        <w:rPr>
          <w:rFonts w:ascii="Arial" w:hAnsi="Arial" w:cs="Arial"/>
          <w:i/>
          <w:iCs/>
        </w:rPr>
        <w:t>(nêu thông tin các hợp đồng lớn đã được thực hiện, đã được ký kết và chưa thực hiện trong 02 năm liên tục liền trước năm đăng ký chào bán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Phó Tổng giám đốc (Phó Giám đốc), cổ đông lớn của Tổ chức phát hành; các điều khoản quan trọng khác trong hợp đồng)</w:t>
      </w:r>
    </w:p>
    <w:p w14:paraId="5CB1605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10.1.6. Các khách hàng, nhà cung cấp lớn </w:t>
      </w:r>
      <w:r w:rsidRPr="00F15AA7">
        <w:rPr>
          <w:rFonts w:ascii="Arial" w:hAnsi="Arial" w:cs="Arial"/>
          <w:i/>
          <w:iCs/>
        </w:rPr>
        <w:t>(nêu thông tin về các khách hàng, nhà cung cấp lớn của Tổ chức phát hành trong 02 năm liên tục liền trước năm đăng ký chào bán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phát hành)</w:t>
      </w:r>
    </w:p>
    <w:p w14:paraId="1BC8F0A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10.1.7.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06C5C9E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p>
    <w:p w14:paraId="6CDE9CF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3337D27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7F9133D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10.1.8. Hoạt động Marketing</w:t>
      </w:r>
    </w:p>
    <w:p w14:paraId="007F4D9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10.1.9. Quyền sở hữu trí tuệ, nhãn hiệu, tên thương mại, sáng chế</w:t>
      </w:r>
    </w:p>
    <w:p w14:paraId="2ED0B5E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xml:space="preserve">10.1.10. Chính sách nghiên cứu và phát triển </w:t>
      </w:r>
      <w:r w:rsidRPr="00F15AA7">
        <w:rPr>
          <w:rFonts w:ascii="Arial" w:hAnsi="Arial" w:cs="Arial"/>
          <w:i/>
          <w:iCs/>
        </w:rPr>
        <w:t>(nêu thông tin về các chính sách trong 02 năm liên tục liền trước năm đăng ký chào bán và đến thời điểm hiện tại, đánh giá ảnh hưởng tới tình hình hoạt động kinh doanh của Tổ chức phát hành)</w:t>
      </w:r>
    </w:p>
    <w:p w14:paraId="17E0530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10.1.11. Chiến lược kinh doanh </w:t>
      </w:r>
      <w:r w:rsidRPr="00F15AA7">
        <w:rPr>
          <w:rFonts w:ascii="Arial" w:hAnsi="Arial" w:cs="Arial"/>
          <w:i/>
          <w:iCs/>
        </w:rPr>
        <w:t>(tổng quan về các chiến lược, thời gian dự kiến thực hiện, nguồn vốn và nguồn lực dự kiến...)</w:t>
      </w:r>
    </w:p>
    <w:p w14:paraId="13DD807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10.1.12. Trường hợp Tổ chức phát hành hoạt động trong lĩnh vực ngành nghề kinh doanh có điều kiện, nêu thông tin về việc đáp ứng các điều kiện kinh doanh theo quy định pháp luật liên quan</w:t>
      </w:r>
    </w:p>
    <w:p w14:paraId="3396BD7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i/>
          <w:iCs/>
        </w:rPr>
        <w:t>10.2. Đối với Tổ chức phát hành là tổ chức tín dụng</w:t>
      </w:r>
    </w:p>
    <w:p w14:paraId="38EF916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10.2.1. Đặc điểm hoạt động kinh doanh</w:t>
      </w:r>
    </w:p>
    <w:p w14:paraId="59AAE93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0CC1A04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năm liên tục liền trước năm đăng ký chào bán và đến thời điểm hiện tại);</w:t>
      </w:r>
    </w:p>
    <w:p w14:paraId="7B2E673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hiện tại);</w:t>
      </w:r>
    </w:p>
    <w:p w14:paraId="3E3B3F6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ngoại tệ và thanh toán </w:t>
      </w:r>
      <w:r w:rsidRPr="00F15AA7">
        <w:rPr>
          <w:rFonts w:ascii="Arial" w:hAnsi="Arial" w:cs="Arial"/>
          <w:i/>
          <w:iCs/>
        </w:rPr>
        <w:t>(tình hình hoạt động kinh doanh ngoại tệ và thanh toán, các dịch vụ thanh toán trong nước và thanh toán quốc tế trong 02 năm liên tục liền trước năm đăng ký chào bán và đến thời điểm hiện tại);</w:t>
      </w:r>
    </w:p>
    <w:p w14:paraId="01FC9E7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53576C8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5BEC681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10.2.2. Tài sản </w:t>
      </w:r>
      <w:r w:rsidRPr="00F15AA7">
        <w:rPr>
          <w:rFonts w:ascii="Arial" w:hAnsi="Arial" w:cs="Arial"/>
          <w:i/>
          <w:iCs/>
        </w:rPr>
        <w:t>(nêu tên, nguyên giá, giá trị còn lại của từng tài sản lớn thuộc sở hữu của Tổ chức phát hành)</w:t>
      </w:r>
    </w:p>
    <w:p w14:paraId="176134E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10.2.3. Quản lý rủi ro và bảo toàn vốn</w:t>
      </w:r>
    </w:p>
    <w:p w14:paraId="0737953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chính sách quản lý rủi ro đang áp dụng </w:t>
      </w:r>
      <w:r w:rsidRPr="00F15AA7">
        <w:rPr>
          <w:rFonts w:ascii="Arial" w:hAnsi="Arial" w:cs="Arial"/>
          <w:i/>
          <w:iCs/>
        </w:rPr>
        <w:t>(rủi ro tín dụng, rủi ro hoạt động, rủi ro thị trường...);</w:t>
      </w:r>
    </w:p>
    <w:p w14:paraId="7A64AFF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p>
    <w:p w14:paraId="03BF145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10.2.4. Thị trường hoạt động</w:t>
      </w:r>
    </w:p>
    <w:p w14:paraId="547BE1E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2F968A1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3D3CD4D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trong ngành </w:t>
      </w:r>
      <w:r w:rsidRPr="00F15AA7">
        <w:rPr>
          <w:rFonts w:ascii="Arial" w:hAnsi="Arial" w:cs="Arial"/>
          <w:i/>
          <w:iCs/>
        </w:rPr>
        <w:t>(nêu thông tin về vị thế và thị phần của Tổ chức phát hành so với các doanh nghiệp khác trong cùng ngành. Thông tin phải được nêu một cách cẩn trọng và hợp lý, nêu nguồn cung cấp thông tin và số liệu công bố).</w:t>
      </w:r>
    </w:p>
    <w:p w14:paraId="61BE54A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10.2.5. Các dự án phát triển hoạt động kinh doanh </w:t>
      </w:r>
      <w:r w:rsidRPr="00F15AA7">
        <w:rPr>
          <w:rFonts w:ascii="Arial" w:hAnsi="Arial" w:cs="Arial"/>
          <w:i/>
          <w:iCs/>
        </w:rPr>
        <w:t>(nêu thông tin về các dự án lớn trong 02 năm liên tục liền trước năm đăng ký chào bán và đến thời điểm hiện tại, đánh giá ảnh hưởng tới tình hình hoạt động kinh doanh của Tổ chức phát hành)</w:t>
      </w:r>
    </w:p>
    <w:p w14:paraId="5DC2AA5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10.2.6. Chiến lược kinh doanh </w:t>
      </w:r>
      <w:r w:rsidRPr="00F15AA7">
        <w:rPr>
          <w:rFonts w:ascii="Arial" w:hAnsi="Arial" w:cs="Arial"/>
          <w:i/>
          <w:iCs/>
        </w:rPr>
        <w:t>(tổng quan về các chiến lược, thời gian dự kiến thực hiện, nguồn vốn và nguồn lực dự kiến...)</w:t>
      </w:r>
    </w:p>
    <w:p w14:paraId="100DA85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11. Chính sách đối với người lao động</w:t>
      </w:r>
    </w:p>
    <w:p w14:paraId="7700F30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Số lượng người lao động tính đến thời điểm hiện tại, số lượng người lao động bình quân trong 02 năm liên tục liền trước năm đăng ký chào bán </w:t>
      </w:r>
      <w:r w:rsidRPr="00F15AA7">
        <w:rPr>
          <w:rFonts w:ascii="Arial" w:hAnsi="Arial" w:cs="Arial"/>
          <w:i/>
          <w:iCs/>
        </w:rPr>
        <w:t>(phân loại theo trình độ người lao động, lao động thường xuyên hoặc thời vụ);</w:t>
      </w:r>
    </w:p>
    <w:p w14:paraId="7A78BF1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Chính sách đào tạo, lương thưởng, trợ cấp...;</w:t>
      </w:r>
    </w:p>
    <w:p w14:paraId="0548BEB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Quy chế phát hành cổ phiếu cho người lao động </w:t>
      </w:r>
      <w:r w:rsidRPr="00F15AA7">
        <w:rPr>
          <w:rFonts w:ascii="Arial" w:hAnsi="Arial" w:cs="Arial"/>
          <w:i/>
          <w:iCs/>
        </w:rPr>
        <w:t>(nếu có).</w:t>
      </w:r>
    </w:p>
    <w:p w14:paraId="52CA0E3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12. Chính sách cổ tức</w:t>
      </w:r>
      <w:r w:rsidRPr="00F15AA7">
        <w:rPr>
          <w:rFonts w:ascii="Arial" w:hAnsi="Arial" w:cs="Arial"/>
        </w:rPr>
        <w:t xml:space="preserve"> </w:t>
      </w:r>
      <w:r w:rsidRPr="00F15AA7">
        <w:rPr>
          <w:rFonts w:ascii="Arial" w:hAnsi="Arial" w:cs="Arial"/>
          <w:i/>
          <w:iCs/>
        </w:rPr>
        <w:t>(nêu các chính sách liên quan đến việc trả cổ tức, tỷ lệ cổ tức trong 02 năm liên tục liền trước năm đăng ký chào bán)</w:t>
      </w:r>
    </w:p>
    <w:p w14:paraId="2C90E8C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13. Thông tin về tình hình sử dụng vốn thu được từ đợt chào bán gần nhất</w:t>
      </w:r>
    </w:p>
    <w:p w14:paraId="4E3E804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Nêu tóm tắt tình hình sử dụng vốn thu được từ đợt chào bán gần nhất trong 02 năm tính đến thời điểm đăng ký chào bán theo Báo cáo sử dụng vốn đã được kiểm toán/Báo cáo tài chính được kiểm toán có thuyết minh chi tiết việc sử dụng vốn;</w:t>
      </w:r>
    </w:p>
    <w:p w14:paraId="4ECC95F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việc sử dụng vốn thực tế có sự điều chỉnh so với phương án ban đầu, nêu nội dung điều chỉnh, nguyên nhân, cấp có thẩm quyền phê duyệt </w:t>
      </w:r>
      <w:r w:rsidRPr="00F15AA7">
        <w:rPr>
          <w:rFonts w:ascii="Arial" w:hAnsi="Arial" w:cs="Arial"/>
          <w:i/>
          <w:iCs/>
        </w:rPr>
        <w:t>(số, ngày ký văn bản),</w:t>
      </w:r>
      <w:r w:rsidRPr="00F15AA7">
        <w:rPr>
          <w:rFonts w:ascii="Arial" w:hAnsi="Arial" w:cs="Arial"/>
        </w:rPr>
        <w:t xml:space="preserve"> thời điểm thực hiện điều chỉnh.</w:t>
      </w:r>
    </w:p>
    <w:p w14:paraId="19A1DA9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14. Thông tin về những cam kết nhưng chưa thực hiện của Tổ chức phát hành</w:t>
      </w:r>
      <w:r w:rsidRPr="00F15AA7">
        <w:rPr>
          <w:rFonts w:ascii="Arial" w:hAnsi="Arial" w:cs="Arial"/>
        </w:rPr>
        <w:t xml:space="preserve"> </w:t>
      </w:r>
      <w:r w:rsidRPr="00F15AA7">
        <w:rPr>
          <w:rFonts w:ascii="Arial" w:hAnsi="Arial" w:cs="Arial"/>
          <w:i/>
          <w:iCs/>
        </w:rPr>
        <w:t>(nêu thông tin về các cam kết có thể ảnh hưởng tới hoạt động kinh doanh, tình hình tài chính của Tổ chức phát hành như thông tin về các hợp đồng thuê sử dụng đất, trái phiếu chưa đáo hạn, các quyền chưa thực hiện của cổ đông sở hữu cổ phần ưu đãi...)</w:t>
      </w:r>
    </w:p>
    <w:p w14:paraId="714C36C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15. Các thông tin, nghĩa vụ nợ tiềm ẩn, tranh chấp kiện tụng liên quan tới Tổ chức phát hành có thể ảnh hưởng đến hoạt động kinh doanh, tình hình tài chính của Tổ chức phát hành, đợt chào bán, giá cổ phiếu chào bán, dự án sử dụng vốn thu được từ đợt chào bán</w:t>
      </w:r>
    </w:p>
    <w:p w14:paraId="13DEABF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16.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6078E33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w:t>
      </w:r>
    </w:p>
    <w:p w14:paraId="18B0F0A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570CD0F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1.1. Tóm tắt một số chỉ tiêu về hoạt động kinh doanh của Tổ chức phát hành trong 02 năm gần nhất và lũy kế đến quý gần nhất </w:t>
      </w:r>
      <w:r w:rsidRPr="00F15AA7">
        <w:rPr>
          <w:rFonts w:ascii="Arial" w:hAnsi="Arial" w:cs="Arial"/>
          <w:i/>
          <w:iCs/>
        </w:rPr>
        <w:t>(nêu các chỉ tiêu trong 02 năm liên tục liền trước năm đăng ký chào bán theo Báo cáo tài chính năm đã kiểm toán, 06 tháng đầu năm đăng ký chào bán theo Báo cáo tài chính bán niên đã kiểm toán/soát xét (nếu có) và lũy kế đến quý gần nhất. Trường hợp Tổ chức phát hành là công ty mẹ, kết quả hoạt động kinh doanh bao gồm kết quả kinh doanh hợp nhất và của công ty mẹ. Trường hợp Tổ chức phát hành là đơn vị kế toán cấp trên có đơn vị trực thuộc không có tư cách pháp nhân, kết quả hoạt động kinh doanh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08"/>
        <w:gridCol w:w="1228"/>
        <w:gridCol w:w="1239"/>
        <w:gridCol w:w="1239"/>
        <w:gridCol w:w="1592"/>
      </w:tblGrid>
      <w:tr w:rsidR="006E5094" w:rsidRPr="00F15AA7" w14:paraId="4050C1F7" w14:textId="77777777" w:rsidTr="00B10BA9">
        <w:tc>
          <w:tcPr>
            <w:tcW w:w="205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1B98A92"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05B9A9"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4B07232"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8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019ADED"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8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43214B1"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6E5094" w:rsidRPr="00F15AA7" w14:paraId="5F6313DB" w14:textId="77777777" w:rsidTr="00B10BA9">
        <w:tblPrEx>
          <w:tblBorders>
            <w:top w:val="none" w:sz="0" w:space="0" w:color="auto"/>
            <w:bottom w:val="none" w:sz="0" w:space="0" w:color="auto"/>
            <w:insideH w:val="none" w:sz="0" w:space="0" w:color="auto"/>
            <w:insideV w:val="none" w:sz="0" w:space="0" w:color="auto"/>
          </w:tblBorders>
        </w:tblPrEx>
        <w:tc>
          <w:tcPr>
            <w:tcW w:w="205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52DE4FD"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i/>
                <w:iCs/>
              </w:rPr>
              <w:t>* Đối với Tổ chức phát hành không phải là tổ chức tín dụng:</w:t>
            </w:r>
          </w:p>
          <w:p w14:paraId="7CB6A9F4"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06A2F326"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Doanh thu thuần</w:t>
            </w:r>
          </w:p>
          <w:p w14:paraId="3456B5D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7D8C074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khác</w:t>
            </w:r>
          </w:p>
          <w:p w14:paraId="7FFFEB68"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7F6F30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sau thuế</w:t>
            </w:r>
          </w:p>
          <w:p w14:paraId="77D67CA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7A791172"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cổ tức</w:t>
            </w:r>
          </w:p>
          <w:p w14:paraId="119F292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21FA251E"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146EBDF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777ADDA2"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3F958A6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66ECA47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F6DF812"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Lợi nhuận sau thuế</w:t>
            </w:r>
          </w:p>
          <w:p w14:paraId="58D27CA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1E05737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2AFFFB"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w:t>
            </w:r>
          </w:p>
        </w:tc>
        <w:tc>
          <w:tcPr>
            <w:tcW w:w="6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AB2E0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w:t>
            </w:r>
          </w:p>
        </w:tc>
        <w:tc>
          <w:tcPr>
            <w:tcW w:w="68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11A753"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w:t>
            </w:r>
          </w:p>
        </w:tc>
        <w:tc>
          <w:tcPr>
            <w:tcW w:w="88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4CDA64"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w:t>
            </w:r>
          </w:p>
        </w:tc>
      </w:tr>
    </w:tbl>
    <w:p w14:paraId="76FDA4C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Các chỉ tiêu khác (Tổ chức phát hành nêu các chỉ tiêu để làm rõ về kết quả hoạt động kinh doanh căn cứ theo đặc điểm ngành hoạt động);</w:t>
      </w:r>
    </w:p>
    <w:p w14:paraId="7BA6650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397F243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5D9E693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Những nhân tố chính tác động đến tình hình hoạt động kinh doanh của Tổ chức phát hành trong 02 năm liên tục liên trước năm đăng ký chào bán </w:t>
      </w:r>
      <w:r w:rsidRPr="00F15AA7">
        <w:rPr>
          <w:rFonts w:ascii="Arial" w:hAnsi="Arial" w:cs="Arial"/>
          <w:i/>
          <w:iCs/>
        </w:rPr>
        <w:t>(nêu những sự kiện bất thường (nếu có); trường hợp tình hình hoạt động kinh doanh biến động lớn, phân tích nguyên nhân);</w:t>
      </w:r>
    </w:p>
    <w:p w14:paraId="2137452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6064279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7D50419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0AF2423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i/>
          <w:iCs/>
        </w:rPr>
        <w:t>2.1. Đối với Tổ chức phát hành không phải là tổ chức tín dụng</w:t>
      </w:r>
    </w:p>
    <w:p w14:paraId="0AE2D62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2.1.1. Các chỉ tiêu cơ bản </w:t>
      </w:r>
      <w:r w:rsidRPr="00F15AA7">
        <w:rPr>
          <w:rFonts w:ascii="Arial" w:hAnsi="Arial" w:cs="Arial"/>
          <w:i/>
          <w:iCs/>
        </w:rPr>
        <w:t>(nêu các chỉ tiêu trong 02 năm liên tục liền trước năm đăng ký chào bán và đến thời điểm hiện tại)</w:t>
      </w:r>
    </w:p>
    <w:p w14:paraId="3B3F5DE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090253C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Trích khấu hao tài sản cố định (</w:t>
      </w:r>
      <w:r w:rsidRPr="00F15AA7">
        <w:rPr>
          <w:rFonts w:ascii="Arial" w:hAnsi="Arial" w:cs="Arial"/>
          <w:i/>
          <w:iCs/>
        </w:rPr>
        <w:t>nêu phương pháp trích khấu hao, những thay đổi trong chính sách khấu hao, việc tuân thủ theo chế độ quy định);</w:t>
      </w:r>
    </w:p>
    <w:p w14:paraId="3955434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p>
    <w:p w14:paraId="1703AF6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036DA2E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200EEAC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7752C2D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3D09A26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35A8EDD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2CBA0EF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78DC6E0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vi phạm các điều khoản khác trong hợp đồng/cam kết, nêu thông tin cụ thể, nguyên nhân và giải pháp khắc phục </w:t>
      </w:r>
      <w:r w:rsidRPr="00F15AA7">
        <w:rPr>
          <w:rFonts w:ascii="Arial" w:hAnsi="Arial" w:cs="Arial"/>
          <w:i/>
          <w:iCs/>
        </w:rPr>
        <w:t>(bao gồm các vi phạm của Tổ chức phát hành và công ty con, nếu có).</w:t>
      </w:r>
    </w:p>
    <w:p w14:paraId="3B76A02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50EB7B5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quy định pháp luật và Điều lệ công ty);</w:t>
      </w:r>
    </w:p>
    <w:p w14:paraId="74E7C41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7A5BBB5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2.1.2. Các chỉ tiêu tài chính chủ yếu</w:t>
      </w:r>
      <w:r w:rsidRPr="00F15AA7">
        <w:rPr>
          <w:rFonts w:ascii="Arial" w:hAnsi="Arial" w:cs="Arial"/>
          <w:i/>
          <w:iCs/>
        </w:rPr>
        <w:t xml:space="preserve"> (Trường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404"/>
        <w:gridCol w:w="1250"/>
        <w:gridCol w:w="1241"/>
        <w:gridCol w:w="1111"/>
      </w:tblGrid>
      <w:tr w:rsidR="006E5094" w:rsidRPr="00F15AA7" w14:paraId="7751C35A" w14:textId="77777777" w:rsidTr="00B10BA9">
        <w:tc>
          <w:tcPr>
            <w:tcW w:w="3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C2EEFF8"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69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FB8BE35"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8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D65CB2D"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1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530419C"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6E5094" w:rsidRPr="00F15AA7" w14:paraId="360528AE" w14:textId="77777777" w:rsidTr="00B10BA9">
        <w:tblPrEx>
          <w:tblBorders>
            <w:top w:val="none" w:sz="0" w:space="0" w:color="auto"/>
            <w:bottom w:val="none" w:sz="0" w:space="0" w:color="auto"/>
            <w:insideH w:val="none" w:sz="0" w:space="0" w:color="auto"/>
            <w:insideV w:val="none" w:sz="0" w:space="0" w:color="auto"/>
          </w:tblBorders>
        </w:tblPrEx>
        <w:tc>
          <w:tcPr>
            <w:tcW w:w="3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6C0510E"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1. Khả năng thanh toán</w:t>
            </w:r>
          </w:p>
          <w:p w14:paraId="6AF2353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68F0627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68FF114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thanh toán nhanh:</w:t>
            </w:r>
          </w:p>
          <w:p w14:paraId="1C46AFA8"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69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CD71DB"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8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95D6BF"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5C1E5A"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r>
      <w:tr w:rsidR="006E5094" w:rsidRPr="00F15AA7" w14:paraId="68526B05" w14:textId="77777777" w:rsidTr="00B10BA9">
        <w:tblPrEx>
          <w:tblBorders>
            <w:top w:val="none" w:sz="0" w:space="0" w:color="auto"/>
            <w:bottom w:val="none" w:sz="0" w:space="0" w:color="auto"/>
            <w:insideH w:val="none" w:sz="0" w:space="0" w:color="auto"/>
            <w:insideV w:val="none" w:sz="0" w:space="0" w:color="auto"/>
          </w:tblBorders>
        </w:tblPrEx>
        <w:tc>
          <w:tcPr>
            <w:tcW w:w="3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F667B6"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xml:space="preserve">2. Cơ cấu vốn </w:t>
            </w:r>
          </w:p>
          <w:p w14:paraId="4DF59C6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xml:space="preserve">- Hệ số Nợ/Tổng tài sản </w:t>
            </w:r>
          </w:p>
          <w:p w14:paraId="627E6C8B"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69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16E8C3"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8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EC59A2"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3758B1"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r>
      <w:tr w:rsidR="006E5094" w:rsidRPr="00F15AA7" w14:paraId="158D16E5" w14:textId="77777777" w:rsidTr="00B10BA9">
        <w:tblPrEx>
          <w:tblBorders>
            <w:top w:val="none" w:sz="0" w:space="0" w:color="auto"/>
            <w:bottom w:val="none" w:sz="0" w:space="0" w:color="auto"/>
            <w:insideH w:val="none" w:sz="0" w:space="0" w:color="auto"/>
            <w:insideV w:val="none" w:sz="0" w:space="0" w:color="auto"/>
          </w:tblBorders>
        </w:tblPrEx>
        <w:tc>
          <w:tcPr>
            <w:tcW w:w="3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E08E29"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3. Năng lực hoạt động</w:t>
            </w:r>
          </w:p>
          <w:p w14:paraId="0DBA919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49700766"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69D8C113"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3B73DAC2"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lastRenderedPageBreak/>
              <w:t>Doanh thu thuần/Tổng tài sản ngắn hạn bình quân</w:t>
            </w:r>
          </w:p>
          <w:p w14:paraId="669C0AA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Vòng quay hàng tồn kho:</w:t>
            </w:r>
          </w:p>
          <w:p w14:paraId="0B52BCF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69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28C81F"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68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92060F"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FF3B26"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r>
      <w:tr w:rsidR="006E5094" w:rsidRPr="00F15AA7" w14:paraId="7214E9FA" w14:textId="77777777" w:rsidTr="00B10BA9">
        <w:tblPrEx>
          <w:tblBorders>
            <w:top w:val="none" w:sz="0" w:space="0" w:color="auto"/>
            <w:bottom w:val="none" w:sz="0" w:space="0" w:color="auto"/>
            <w:insideH w:val="none" w:sz="0" w:space="0" w:color="auto"/>
            <w:insideV w:val="none" w:sz="0" w:space="0" w:color="auto"/>
          </w:tblBorders>
        </w:tblPrEx>
        <w:tc>
          <w:tcPr>
            <w:tcW w:w="30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0B40CDB"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4. Khả năng sinh lời</w:t>
            </w:r>
          </w:p>
          <w:p w14:paraId="765E1A34"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1320254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53427C9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38B2935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35CBF67B"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6CBBA02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74FBDF5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69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B41173"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8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00E6AEF"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c>
          <w:tcPr>
            <w:tcW w:w="61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28F391"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2760FD4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4EE258F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5C7B444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i/>
          <w:iCs/>
        </w:rPr>
        <w:t>2.2. Đối với Tổ chức phát hành là tổ chức tín dụng</w:t>
      </w:r>
    </w:p>
    <w:p w14:paraId="7FF76E7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2.2.1. Các chỉ tiêu cơ bản </w:t>
      </w:r>
      <w:r w:rsidRPr="00F15AA7">
        <w:rPr>
          <w:rFonts w:ascii="Arial" w:hAnsi="Arial" w:cs="Arial"/>
          <w:i/>
          <w:iCs/>
        </w:rPr>
        <w:t>(nêu các chỉ tiêu trong 02 năm liên tục liền trước năm đăng ký chào bán và đến thời điểm hiện tại)</w:t>
      </w:r>
    </w:p>
    <w:p w14:paraId="5255FC8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47C4FE7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Trích khấu hao tài sản cố định</w:t>
      </w:r>
      <w:r w:rsidRPr="00F15AA7">
        <w:rPr>
          <w:rFonts w:ascii="Arial" w:hAnsi="Arial" w:cs="Arial"/>
          <w:i/>
          <w:iCs/>
        </w:rPr>
        <w:t xml:space="preserve"> (nêu phương pháp trích khấu hao, những thay đổi trong chính sách khấu hao, việc tuân thủ theo chế độ quy định);</w:t>
      </w:r>
    </w:p>
    <w:p w14:paraId="6B61E82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p>
    <w:p w14:paraId="2613F55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66B8B87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578A8D1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theo quy định pháp luật và Điều lệ công ty);</w:t>
      </w:r>
    </w:p>
    <w:p w14:paraId="7953AAF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19D25FA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2.2.2. Các chỉ tiêu tài chính chủ yếu </w:t>
      </w:r>
      <w:r w:rsidRPr="00F15AA7">
        <w:rPr>
          <w:rFonts w:ascii="Arial" w:hAnsi="Arial" w:cs="Arial"/>
          <w:i/>
          <w:iCs/>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72"/>
        <w:gridCol w:w="1174"/>
        <w:gridCol w:w="1174"/>
        <w:gridCol w:w="1086"/>
      </w:tblGrid>
      <w:tr w:rsidR="006E5094" w:rsidRPr="00F15AA7" w14:paraId="4A49A6B6" w14:textId="77777777" w:rsidTr="00B10BA9">
        <w:tc>
          <w:tcPr>
            <w:tcW w:w="309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6AC842D"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3578B84"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0900047"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0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F67558B"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6E5094" w:rsidRPr="00F15AA7" w14:paraId="2AA8DAA3" w14:textId="77777777" w:rsidTr="00B10BA9">
        <w:tblPrEx>
          <w:tblBorders>
            <w:top w:val="none" w:sz="0" w:space="0" w:color="auto"/>
            <w:bottom w:val="none" w:sz="0" w:space="0" w:color="auto"/>
            <w:insideH w:val="none" w:sz="0" w:space="0" w:color="auto"/>
            <w:insideV w:val="none" w:sz="0" w:space="0" w:color="auto"/>
          </w:tblBorders>
        </w:tblPrEx>
        <w:tc>
          <w:tcPr>
            <w:tcW w:w="309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68D7F91"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1. Chỉ tiêu về vốn</w:t>
            </w:r>
          </w:p>
          <w:p w14:paraId="7D63A348"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Vốn điều lệ</w:t>
            </w:r>
          </w:p>
          <w:p w14:paraId="727BF78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Vốn tự có</w:t>
            </w:r>
          </w:p>
          <w:p w14:paraId="18D4690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7CE5A82" w14:textId="77777777" w:rsidR="006E5094" w:rsidRPr="00F15AA7" w:rsidRDefault="006E5094" w:rsidP="00B10BA9">
            <w:pPr>
              <w:adjustRightInd w:val="0"/>
              <w:snapToGrid w:val="0"/>
              <w:spacing w:after="0" w:line="240" w:lineRule="auto"/>
              <w:rPr>
                <w:rFonts w:ascii="Arial" w:hAnsi="Arial" w:cs="Arial"/>
              </w:rPr>
            </w:pP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72F7B5" w14:textId="77777777" w:rsidR="006E5094" w:rsidRPr="00F15AA7" w:rsidRDefault="006E5094" w:rsidP="00B10BA9">
            <w:pPr>
              <w:adjustRightInd w:val="0"/>
              <w:snapToGrid w:val="0"/>
              <w:spacing w:after="0" w:line="240" w:lineRule="auto"/>
              <w:rPr>
                <w:rFonts w:ascii="Arial" w:hAnsi="Arial" w:cs="Arial"/>
              </w:rPr>
            </w:pPr>
          </w:p>
        </w:tc>
        <w:tc>
          <w:tcPr>
            <w:tcW w:w="6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95A35B" w14:textId="77777777" w:rsidR="006E5094" w:rsidRPr="00F15AA7" w:rsidRDefault="006E5094" w:rsidP="00B10BA9">
            <w:pPr>
              <w:adjustRightInd w:val="0"/>
              <w:snapToGrid w:val="0"/>
              <w:spacing w:after="0" w:line="240" w:lineRule="auto"/>
              <w:rPr>
                <w:rFonts w:ascii="Arial" w:hAnsi="Arial" w:cs="Arial"/>
              </w:rPr>
            </w:pPr>
          </w:p>
        </w:tc>
      </w:tr>
      <w:tr w:rsidR="006E5094" w:rsidRPr="00F15AA7" w14:paraId="7594ADC4" w14:textId="77777777" w:rsidTr="00B10BA9">
        <w:tblPrEx>
          <w:tblBorders>
            <w:top w:val="none" w:sz="0" w:space="0" w:color="auto"/>
            <w:bottom w:val="none" w:sz="0" w:space="0" w:color="auto"/>
            <w:insideH w:val="none" w:sz="0" w:space="0" w:color="auto"/>
            <w:insideV w:val="none" w:sz="0" w:space="0" w:color="auto"/>
          </w:tblBorders>
        </w:tblPrEx>
        <w:tc>
          <w:tcPr>
            <w:tcW w:w="309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AD86D5E"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2. Chất lượng tài sản</w:t>
            </w:r>
          </w:p>
          <w:p w14:paraId="4BE873E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lộ nợ quá hạn</w:t>
            </w:r>
          </w:p>
          <w:p w14:paraId="2FB467ED"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nợ xấu</w:t>
            </w:r>
          </w:p>
          <w:p w14:paraId="3703A93E"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22808791"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DD8990" w14:textId="77777777" w:rsidR="006E5094" w:rsidRPr="00F15AA7" w:rsidRDefault="006E5094" w:rsidP="00B10BA9">
            <w:pPr>
              <w:adjustRightInd w:val="0"/>
              <w:snapToGrid w:val="0"/>
              <w:spacing w:after="0" w:line="240" w:lineRule="auto"/>
              <w:rPr>
                <w:rFonts w:ascii="Arial" w:hAnsi="Arial" w:cs="Arial"/>
              </w:rPr>
            </w:pP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8F32284" w14:textId="77777777" w:rsidR="006E5094" w:rsidRPr="00F15AA7" w:rsidRDefault="006E5094" w:rsidP="00B10BA9">
            <w:pPr>
              <w:adjustRightInd w:val="0"/>
              <w:snapToGrid w:val="0"/>
              <w:spacing w:after="0" w:line="240" w:lineRule="auto"/>
              <w:rPr>
                <w:rFonts w:ascii="Arial" w:hAnsi="Arial" w:cs="Arial"/>
              </w:rPr>
            </w:pPr>
          </w:p>
        </w:tc>
        <w:tc>
          <w:tcPr>
            <w:tcW w:w="6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2800D8D" w14:textId="77777777" w:rsidR="006E5094" w:rsidRPr="00F15AA7" w:rsidRDefault="006E5094" w:rsidP="00B10BA9">
            <w:pPr>
              <w:adjustRightInd w:val="0"/>
              <w:snapToGrid w:val="0"/>
              <w:spacing w:after="0" w:line="240" w:lineRule="auto"/>
              <w:rPr>
                <w:rFonts w:ascii="Arial" w:hAnsi="Arial" w:cs="Arial"/>
              </w:rPr>
            </w:pPr>
          </w:p>
        </w:tc>
      </w:tr>
      <w:tr w:rsidR="006E5094" w:rsidRPr="00F15AA7" w14:paraId="59BB9BED" w14:textId="77777777" w:rsidTr="00B10BA9">
        <w:tblPrEx>
          <w:tblBorders>
            <w:top w:val="none" w:sz="0" w:space="0" w:color="auto"/>
            <w:bottom w:val="none" w:sz="0" w:space="0" w:color="auto"/>
            <w:insideH w:val="none" w:sz="0" w:space="0" w:color="auto"/>
            <w:insideV w:val="none" w:sz="0" w:space="0" w:color="auto"/>
          </w:tblBorders>
        </w:tblPrEx>
        <w:tc>
          <w:tcPr>
            <w:tcW w:w="309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3DB2659"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3. Khả năng thanh khoản</w:t>
            </w:r>
          </w:p>
          <w:p w14:paraId="695AFEC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62ECAE9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2CF3E88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2D1415" w14:textId="77777777" w:rsidR="006E5094" w:rsidRPr="00F15AA7" w:rsidRDefault="006E5094" w:rsidP="00B10BA9">
            <w:pPr>
              <w:adjustRightInd w:val="0"/>
              <w:snapToGrid w:val="0"/>
              <w:spacing w:after="0" w:line="240" w:lineRule="auto"/>
              <w:rPr>
                <w:rFonts w:ascii="Arial" w:hAnsi="Arial" w:cs="Arial"/>
              </w:rPr>
            </w:pP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683F92" w14:textId="77777777" w:rsidR="006E5094" w:rsidRPr="00F15AA7" w:rsidRDefault="006E5094" w:rsidP="00B10BA9">
            <w:pPr>
              <w:adjustRightInd w:val="0"/>
              <w:snapToGrid w:val="0"/>
              <w:spacing w:after="0" w:line="240" w:lineRule="auto"/>
              <w:rPr>
                <w:rFonts w:ascii="Arial" w:hAnsi="Arial" w:cs="Arial"/>
              </w:rPr>
            </w:pPr>
          </w:p>
        </w:tc>
        <w:tc>
          <w:tcPr>
            <w:tcW w:w="6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5BAAFD" w14:textId="77777777" w:rsidR="006E5094" w:rsidRPr="00F15AA7" w:rsidRDefault="006E5094" w:rsidP="00B10BA9">
            <w:pPr>
              <w:adjustRightInd w:val="0"/>
              <w:snapToGrid w:val="0"/>
              <w:spacing w:after="0" w:line="240" w:lineRule="auto"/>
              <w:rPr>
                <w:rFonts w:ascii="Arial" w:hAnsi="Arial" w:cs="Arial"/>
              </w:rPr>
            </w:pPr>
          </w:p>
        </w:tc>
      </w:tr>
      <w:tr w:rsidR="006E5094" w:rsidRPr="00F15AA7" w14:paraId="372EDD09" w14:textId="77777777" w:rsidTr="00B10BA9">
        <w:tblPrEx>
          <w:tblBorders>
            <w:top w:val="none" w:sz="0" w:space="0" w:color="auto"/>
            <w:bottom w:val="none" w:sz="0" w:space="0" w:color="auto"/>
            <w:insideH w:val="none" w:sz="0" w:space="0" w:color="auto"/>
            <w:insideV w:val="none" w:sz="0" w:space="0" w:color="auto"/>
          </w:tblBorders>
        </w:tblPrEx>
        <w:tc>
          <w:tcPr>
            <w:tcW w:w="309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59C225"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4779C043"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24D1945F"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1735C5A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04ED2411"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88D45B8"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lastRenderedPageBreak/>
              <w:t>Lợi nhuận sau thuế/Tổng tài sản bình quân</w:t>
            </w:r>
          </w:p>
          <w:p w14:paraId="7EB85764"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00FD9656"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1B7D103A"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27E4304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781CE367"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4CD32E" w14:textId="77777777" w:rsidR="006E5094" w:rsidRPr="00F15AA7" w:rsidRDefault="006E5094" w:rsidP="00B10BA9">
            <w:pPr>
              <w:adjustRightInd w:val="0"/>
              <w:snapToGrid w:val="0"/>
              <w:spacing w:after="0" w:line="240" w:lineRule="auto"/>
              <w:rPr>
                <w:rFonts w:ascii="Arial" w:hAnsi="Arial" w:cs="Arial"/>
              </w:rPr>
            </w:pP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94E4508" w14:textId="77777777" w:rsidR="006E5094" w:rsidRPr="00F15AA7" w:rsidRDefault="006E5094" w:rsidP="00B10BA9">
            <w:pPr>
              <w:adjustRightInd w:val="0"/>
              <w:snapToGrid w:val="0"/>
              <w:spacing w:after="0" w:line="240" w:lineRule="auto"/>
              <w:rPr>
                <w:rFonts w:ascii="Arial" w:hAnsi="Arial" w:cs="Arial"/>
              </w:rPr>
            </w:pPr>
          </w:p>
        </w:tc>
        <w:tc>
          <w:tcPr>
            <w:tcW w:w="60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BB1C06" w14:textId="77777777" w:rsidR="006E5094" w:rsidRPr="00F15AA7" w:rsidRDefault="006E5094" w:rsidP="00B10BA9">
            <w:pPr>
              <w:adjustRightInd w:val="0"/>
              <w:snapToGrid w:val="0"/>
              <w:spacing w:after="0" w:line="240" w:lineRule="auto"/>
              <w:rPr>
                <w:rFonts w:ascii="Arial" w:hAnsi="Arial" w:cs="Arial"/>
              </w:rPr>
            </w:pPr>
          </w:p>
        </w:tc>
      </w:tr>
    </w:tbl>
    <w:p w14:paraId="1BE2675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57A3D3A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42FC172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5C10BFF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09A1DC5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02 năm gần nhất của Tổ chức phát hành </w:t>
      </w:r>
      <w:r w:rsidRPr="00F15AA7">
        <w:rPr>
          <w:rFonts w:ascii="Arial" w:hAnsi="Arial" w:cs="Arial"/>
          <w:i/>
          <w:iCs/>
        </w:rPr>
        <w:t>(trường hợp ý kiến kiểm toán là ý kiến ngoại trừ; Tổ chức phát hành nêu nội dung giải trình về ảnh hưởng của việc ngoại trừ đã được Tổ chức kiểm toán xác nhận);</w:t>
      </w:r>
    </w:p>
    <w:p w14:paraId="218F05D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đăng ký chào bán của Tổ chức phát hành </w:t>
      </w:r>
      <w:r w:rsidRPr="00F15AA7">
        <w:rPr>
          <w:rFonts w:ascii="Arial" w:hAnsi="Arial" w:cs="Arial"/>
          <w:i/>
          <w:iCs/>
        </w:rPr>
        <w:t>(nếu có) (trường hợp ý kiến kiểm toán/soát xét là ý kiến ngoại trừ, Tổ chức phát hành nêu nội dung giải trình về ảnh hưởng của việc ngoại trừ đã được Tổ chức kiểm toán xác nhận).</w:t>
      </w:r>
    </w:p>
    <w:p w14:paraId="06DFFC3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4.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38"/>
        <w:gridCol w:w="1410"/>
        <w:gridCol w:w="1558"/>
      </w:tblGrid>
      <w:tr w:rsidR="006E5094" w:rsidRPr="00F15AA7" w14:paraId="1EC54EA9" w14:textId="77777777" w:rsidTr="00B10BA9">
        <w:tc>
          <w:tcPr>
            <w:tcW w:w="3352"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DAE400"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648"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D69CC09"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6E5094" w:rsidRPr="00F15AA7" w14:paraId="0BF91C59" w14:textId="77777777" w:rsidTr="00B10BA9">
        <w:tblPrEx>
          <w:tblBorders>
            <w:top w:val="none" w:sz="0" w:space="0" w:color="auto"/>
            <w:bottom w:val="none" w:sz="0" w:space="0" w:color="auto"/>
            <w:insideH w:val="none" w:sz="0" w:space="0" w:color="auto"/>
            <w:insideV w:val="none" w:sz="0" w:space="0" w:color="auto"/>
          </w:tblBorders>
        </w:tblPrEx>
        <w:tc>
          <w:tcPr>
            <w:tcW w:w="3352" w:type="pct"/>
            <w:vMerge/>
            <w:tcBorders>
              <w:top w:val="single" w:sz="8" w:space="0" w:color="auto"/>
              <w:left w:val="single" w:sz="8" w:space="0" w:color="auto"/>
              <w:bottom w:val="single" w:sz="8" w:space="0" w:color="auto"/>
              <w:right w:val="single" w:sz="8" w:space="0" w:color="auto"/>
              <w:tl2br w:val="nil"/>
              <w:tr2bl w:val="nil"/>
            </w:tcBorders>
            <w:vAlign w:val="center"/>
          </w:tcPr>
          <w:p w14:paraId="1267779F" w14:textId="77777777" w:rsidR="006E5094" w:rsidRPr="00F15AA7" w:rsidRDefault="006E5094" w:rsidP="00B10BA9">
            <w:pPr>
              <w:adjustRightInd w:val="0"/>
              <w:snapToGrid w:val="0"/>
              <w:spacing w:after="0" w:line="240" w:lineRule="auto"/>
              <w:jc w:val="center"/>
              <w:rPr>
                <w:rFonts w:ascii="Arial" w:hAnsi="Arial" w:cs="Arial"/>
              </w:rPr>
            </w:pP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64DA84"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1FC5EF" w14:textId="77777777" w:rsidR="006E5094" w:rsidRPr="00F15AA7" w:rsidRDefault="006E5094" w:rsidP="00B10BA9">
            <w:pPr>
              <w:adjustRightInd w:val="0"/>
              <w:snapToGrid w:val="0"/>
              <w:spacing w:after="0" w:line="240" w:lineRule="auto"/>
              <w:jc w:val="center"/>
              <w:rPr>
                <w:rFonts w:ascii="Arial" w:hAnsi="Arial" w:cs="Arial"/>
              </w:rPr>
            </w:pPr>
            <w:r w:rsidRPr="00F15AA7">
              <w:rPr>
                <w:rFonts w:ascii="Arial" w:hAnsi="Arial" w:cs="Arial"/>
              </w:rPr>
              <w:t>% tăng/giảm so với năm trước</w:t>
            </w:r>
          </w:p>
        </w:tc>
      </w:tr>
      <w:tr w:rsidR="006E5094" w:rsidRPr="00F15AA7" w14:paraId="1572A21F" w14:textId="77777777" w:rsidTr="00B10BA9">
        <w:tblPrEx>
          <w:tblBorders>
            <w:top w:val="none" w:sz="0" w:space="0" w:color="auto"/>
            <w:bottom w:val="none" w:sz="0" w:space="0" w:color="auto"/>
            <w:insideH w:val="none" w:sz="0" w:space="0" w:color="auto"/>
            <w:insideV w:val="none" w:sz="0" w:space="0" w:color="auto"/>
          </w:tblBorders>
        </w:tblPrEx>
        <w:tc>
          <w:tcPr>
            <w:tcW w:w="33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C1307C"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6E010F" w14:textId="77777777" w:rsidR="006E5094" w:rsidRPr="00F15AA7" w:rsidRDefault="006E5094" w:rsidP="00B10BA9">
            <w:pPr>
              <w:adjustRightInd w:val="0"/>
              <w:snapToGrid w:val="0"/>
              <w:spacing w:after="0" w:line="240" w:lineRule="auto"/>
              <w:jc w:val="center"/>
              <w:rPr>
                <w:rFonts w:ascii="Arial" w:hAnsi="Arial" w:cs="Arial"/>
              </w:rPr>
            </w:pP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2B413E" w14:textId="77777777" w:rsidR="006E5094" w:rsidRPr="00F15AA7" w:rsidRDefault="006E5094" w:rsidP="00B10BA9">
            <w:pPr>
              <w:adjustRightInd w:val="0"/>
              <w:snapToGrid w:val="0"/>
              <w:spacing w:after="0" w:line="240" w:lineRule="auto"/>
              <w:jc w:val="center"/>
              <w:rPr>
                <w:rFonts w:ascii="Arial" w:hAnsi="Arial" w:cs="Arial"/>
              </w:rPr>
            </w:pPr>
          </w:p>
        </w:tc>
      </w:tr>
      <w:tr w:rsidR="006E5094" w:rsidRPr="00F15AA7" w14:paraId="14F1C5C1" w14:textId="77777777" w:rsidTr="00B10BA9">
        <w:tblPrEx>
          <w:tblBorders>
            <w:top w:val="none" w:sz="0" w:space="0" w:color="auto"/>
            <w:bottom w:val="none" w:sz="0" w:space="0" w:color="auto"/>
            <w:insideH w:val="none" w:sz="0" w:space="0" w:color="auto"/>
            <w:insideV w:val="none" w:sz="0" w:space="0" w:color="auto"/>
          </w:tblBorders>
        </w:tblPrEx>
        <w:tc>
          <w:tcPr>
            <w:tcW w:w="33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9C23462"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608B7C" w14:textId="77777777" w:rsidR="006E5094" w:rsidRPr="00F15AA7" w:rsidRDefault="006E5094" w:rsidP="00B10BA9">
            <w:pPr>
              <w:adjustRightInd w:val="0"/>
              <w:snapToGrid w:val="0"/>
              <w:spacing w:after="0" w:line="240" w:lineRule="auto"/>
              <w:jc w:val="center"/>
              <w:rPr>
                <w:rFonts w:ascii="Arial" w:hAnsi="Arial" w:cs="Arial"/>
              </w:rPr>
            </w:pP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D405DD" w14:textId="77777777" w:rsidR="006E5094" w:rsidRPr="00F15AA7" w:rsidRDefault="006E5094" w:rsidP="00B10BA9">
            <w:pPr>
              <w:adjustRightInd w:val="0"/>
              <w:snapToGrid w:val="0"/>
              <w:spacing w:after="0" w:line="240" w:lineRule="auto"/>
              <w:jc w:val="center"/>
              <w:rPr>
                <w:rFonts w:ascii="Arial" w:hAnsi="Arial" w:cs="Arial"/>
              </w:rPr>
            </w:pPr>
          </w:p>
        </w:tc>
      </w:tr>
      <w:tr w:rsidR="006E5094" w:rsidRPr="00F15AA7" w14:paraId="0B5F8639" w14:textId="77777777" w:rsidTr="00B10BA9">
        <w:tblPrEx>
          <w:tblBorders>
            <w:top w:val="none" w:sz="0" w:space="0" w:color="auto"/>
            <w:bottom w:val="none" w:sz="0" w:space="0" w:color="auto"/>
            <w:insideH w:val="none" w:sz="0" w:space="0" w:color="auto"/>
            <w:insideV w:val="none" w:sz="0" w:space="0" w:color="auto"/>
          </w:tblBorders>
        </w:tblPrEx>
        <w:tc>
          <w:tcPr>
            <w:tcW w:w="33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A3C481E"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A779EC" w14:textId="77777777" w:rsidR="006E5094" w:rsidRPr="00F15AA7" w:rsidRDefault="006E5094" w:rsidP="00B10BA9">
            <w:pPr>
              <w:adjustRightInd w:val="0"/>
              <w:snapToGrid w:val="0"/>
              <w:spacing w:after="0" w:line="240" w:lineRule="auto"/>
              <w:jc w:val="center"/>
              <w:rPr>
                <w:rFonts w:ascii="Arial" w:hAnsi="Arial" w:cs="Arial"/>
              </w:rPr>
            </w:pP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4FD101A" w14:textId="77777777" w:rsidR="006E5094" w:rsidRPr="00F15AA7" w:rsidRDefault="006E5094" w:rsidP="00B10BA9">
            <w:pPr>
              <w:adjustRightInd w:val="0"/>
              <w:snapToGrid w:val="0"/>
              <w:spacing w:after="0" w:line="240" w:lineRule="auto"/>
              <w:jc w:val="center"/>
              <w:rPr>
                <w:rFonts w:ascii="Arial" w:hAnsi="Arial" w:cs="Arial"/>
              </w:rPr>
            </w:pPr>
          </w:p>
        </w:tc>
      </w:tr>
      <w:tr w:rsidR="006E5094" w:rsidRPr="00F15AA7" w14:paraId="1F98DCA6" w14:textId="77777777" w:rsidTr="00B10BA9">
        <w:tblPrEx>
          <w:tblBorders>
            <w:top w:val="none" w:sz="0" w:space="0" w:color="auto"/>
            <w:bottom w:val="none" w:sz="0" w:space="0" w:color="auto"/>
            <w:insideH w:val="none" w:sz="0" w:space="0" w:color="auto"/>
            <w:insideV w:val="none" w:sz="0" w:space="0" w:color="auto"/>
          </w:tblBorders>
        </w:tblPrEx>
        <w:tc>
          <w:tcPr>
            <w:tcW w:w="33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AACE4D6"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5D3E56D" w14:textId="77777777" w:rsidR="006E5094" w:rsidRPr="00F15AA7" w:rsidRDefault="006E5094" w:rsidP="00B10BA9">
            <w:pPr>
              <w:adjustRightInd w:val="0"/>
              <w:snapToGrid w:val="0"/>
              <w:spacing w:after="0" w:line="240" w:lineRule="auto"/>
              <w:jc w:val="center"/>
              <w:rPr>
                <w:rFonts w:ascii="Arial" w:hAnsi="Arial" w:cs="Arial"/>
              </w:rPr>
            </w:pP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15277E" w14:textId="77777777" w:rsidR="006E5094" w:rsidRPr="00F15AA7" w:rsidRDefault="006E5094" w:rsidP="00B10BA9">
            <w:pPr>
              <w:adjustRightInd w:val="0"/>
              <w:snapToGrid w:val="0"/>
              <w:spacing w:after="0" w:line="240" w:lineRule="auto"/>
              <w:jc w:val="center"/>
              <w:rPr>
                <w:rFonts w:ascii="Arial" w:hAnsi="Arial" w:cs="Arial"/>
              </w:rPr>
            </w:pPr>
          </w:p>
        </w:tc>
      </w:tr>
      <w:tr w:rsidR="006E5094" w:rsidRPr="00F15AA7" w14:paraId="5981DBCC" w14:textId="77777777" w:rsidTr="00B10BA9">
        <w:tblPrEx>
          <w:tblBorders>
            <w:top w:val="none" w:sz="0" w:space="0" w:color="auto"/>
            <w:bottom w:val="none" w:sz="0" w:space="0" w:color="auto"/>
            <w:insideH w:val="none" w:sz="0" w:space="0" w:color="auto"/>
            <w:insideV w:val="none" w:sz="0" w:space="0" w:color="auto"/>
          </w:tblBorders>
        </w:tblPrEx>
        <w:tc>
          <w:tcPr>
            <w:tcW w:w="3352"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65597E8" w14:textId="77777777" w:rsidR="006E5094" w:rsidRPr="00F15AA7" w:rsidRDefault="006E5094" w:rsidP="00B10BA9">
            <w:pPr>
              <w:adjustRightInd w:val="0"/>
              <w:snapToGrid w:val="0"/>
              <w:spacing w:after="0" w:line="240" w:lineRule="auto"/>
              <w:rPr>
                <w:rFonts w:ascii="Arial" w:hAnsi="Arial" w:cs="Arial"/>
              </w:rPr>
            </w:pPr>
            <w:r w:rsidRPr="00F15AA7">
              <w:rPr>
                <w:rFonts w:ascii="Arial" w:hAnsi="Arial" w:cs="Arial"/>
              </w:rPr>
              <w:t>Tỷ lệ cổ tức</w:t>
            </w:r>
          </w:p>
        </w:tc>
        <w:tc>
          <w:tcPr>
            <w:tcW w:w="78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CB183AF" w14:textId="77777777" w:rsidR="006E5094" w:rsidRPr="00F15AA7" w:rsidRDefault="006E5094" w:rsidP="00B10BA9">
            <w:pPr>
              <w:adjustRightInd w:val="0"/>
              <w:snapToGrid w:val="0"/>
              <w:spacing w:after="0" w:line="240" w:lineRule="auto"/>
              <w:jc w:val="center"/>
              <w:rPr>
                <w:rFonts w:ascii="Arial" w:hAnsi="Arial" w:cs="Arial"/>
              </w:rPr>
            </w:pPr>
          </w:p>
        </w:tc>
        <w:tc>
          <w:tcPr>
            <w:tcW w:w="86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15B9B3" w14:textId="77777777" w:rsidR="006E5094" w:rsidRPr="00F15AA7" w:rsidRDefault="006E5094" w:rsidP="00B10BA9">
            <w:pPr>
              <w:adjustRightInd w:val="0"/>
              <w:snapToGrid w:val="0"/>
              <w:spacing w:after="0" w:line="240" w:lineRule="auto"/>
              <w:jc w:val="center"/>
              <w:rPr>
                <w:rFonts w:ascii="Arial" w:hAnsi="Arial" w:cs="Arial"/>
              </w:rPr>
            </w:pPr>
          </w:p>
        </w:tc>
      </w:tr>
    </w:tbl>
    <w:p w14:paraId="65D9FDC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Cấp có thẩm quyền thông qua kế hoạch nêu trên </w:t>
      </w:r>
      <w:r w:rsidRPr="00F15AA7">
        <w:rPr>
          <w:rFonts w:ascii="Arial" w:hAnsi="Arial" w:cs="Arial"/>
          <w:i/>
          <w:iCs/>
        </w:rPr>
        <w:t>(Đại hội đồng cổ đông, Hội đồng quản trị...);</w:t>
      </w:r>
    </w:p>
    <w:p w14:paraId="76EA490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Căn cứ để đạt kế hoạch doanh thu, lợi nhuận và cổ tức nêu trên </w:t>
      </w:r>
      <w:r w:rsidRPr="00F15AA7">
        <w:rPr>
          <w:rFonts w:ascii="Arial" w:hAnsi="Arial" w:cs="Arial"/>
          <w:i/>
          <w:iCs/>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14:paraId="1500B48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 về kế hoạch doanh thu, lợi nhuận và cổ tức.</w:t>
      </w:r>
    </w:p>
    <w:p w14:paraId="5719E22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 THÔNG TIN VỀ CỔ ĐÔNG SÁNG LẬP, CỔ ĐÔNG LỚN, THÀNH VIÊN HỘI ĐỒNG QUẢN TRỊ, KIỂM SOÁT VIÊN, TỔNG GIÁM ĐỐC (GIÁM ĐỐC), PHÓ TỔNG GIÁM ĐỐC (PHÓ GIÁM ĐỐC), KẾ TOÁN TRƯỞNG</w:t>
      </w:r>
    </w:p>
    <w:p w14:paraId="1704CBF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 xml:space="preserve">1. Thông tin về cổ đông sáng lập </w:t>
      </w:r>
      <w:r w:rsidRPr="00F15AA7">
        <w:rPr>
          <w:rFonts w:ascii="Arial" w:hAnsi="Arial" w:cs="Arial"/>
          <w:i/>
          <w:iCs/>
        </w:rPr>
        <w:t>(trường hợp Tổ chức phát hành có cổ đông sáng lập đang trong thời gian hạn chế chuyển nhượng)</w:t>
      </w:r>
    </w:p>
    <w:p w14:paraId="2E12144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06A1D00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từ pháp lý có giá trị tương đương;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08B742C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cổ phần nắm giữ theo từng loại </w:t>
      </w:r>
      <w:r w:rsidRPr="00F15AA7">
        <w:rPr>
          <w:rFonts w:ascii="Arial" w:hAnsi="Arial" w:cs="Arial"/>
          <w:i/>
          <w:iCs/>
        </w:rPr>
        <w:t xml:space="preserve">(trong đó nêu số lượng và tỷ lệ cổ phần có quyền biểu quyết, cổ phần bị hạn chế chuyển nhượng, cổ phần ưu đãi khác) </w:t>
      </w:r>
      <w:r w:rsidRPr="00F15AA7">
        <w:rPr>
          <w:rFonts w:ascii="Arial" w:hAnsi="Arial" w:cs="Arial"/>
        </w:rPr>
        <w:t>của cổ đông sáng lập tại thời điểm thành lập doanh nghiệp, hiện tại và dự kiến sau đợt chào bán;</w:t>
      </w:r>
    </w:p>
    <w:p w14:paraId="7989FE7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3DF43F8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Thông tin về cổ đông lớn</w:t>
      </w:r>
    </w:p>
    <w:p w14:paraId="5E36C4B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7626493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i/>
          <w:iCs/>
        </w:rPr>
        <w:lastRenderedPageBreak/>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r w:rsidRPr="00F15AA7">
        <w:rPr>
          <w:rFonts w:ascii="Arial" w:hAnsi="Arial" w:cs="Arial"/>
        </w:rPr>
        <w:t>;</w:t>
      </w:r>
    </w:p>
    <w:p w14:paraId="35D2E86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Số lượng, tỷ lệ cổ phần nắm giữ, cổ phần có quyền biểu quyết của cổ đông lớn và những người có liên quan của họ tại thời điểm trở thành cổ đông lớn, hiện tại và dự kiến sau đợt chào bán;</w:t>
      </w:r>
    </w:p>
    <w:p w14:paraId="772A2D7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Đối với cổ đông, người đại diện theo ủy quyền của cổ đông sở hữu trên 10% tổng số cổ phần phổ thông của Tổ chức phát hành và những người có liên quan của họ: nêu thông tin về các hợp đồng, giao dịch đang thực hiện hoặc đã ký kết và chưa thực hiện giữa Tổ chức phát hành với các đối tượng này </w:t>
      </w:r>
      <w:r w:rsidRPr="00F15AA7">
        <w:rPr>
          <w:rFonts w:ascii="Arial" w:hAnsi="Arial" w:cs="Arial"/>
          <w:i/>
          <w:iCs/>
        </w:rPr>
        <w:t>(loại giao dịch, giá trị giao dịch, các điều khoản quan trọng khác; cấp có thẩm quyền chấp thuận);</w:t>
      </w:r>
    </w:p>
    <w:p w14:paraId="281E8EE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375D5D7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cổ đông lớn có lợi ích liên quan tại doanh nghiệp khác hoạt động kinh doanh trong cùng lĩnh vực với Tổ chức phát hành hoặc là khách hàng/nhà cung cấp lớn của Tổ chức phát hành, nêu các thông tin sau:</w:t>
      </w:r>
    </w:p>
    <w:p w14:paraId="13D8138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6372AFD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p>
    <w:p w14:paraId="41D1682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cổ đông lớn của Tổ chức phát hành và những người có liên quan của họ với doanh nghiệp </w:t>
      </w:r>
      <w:r w:rsidRPr="00F15AA7">
        <w:rPr>
          <w:rFonts w:ascii="Arial" w:hAnsi="Arial" w:cs="Arial"/>
          <w:i/>
          <w:iCs/>
        </w:rPr>
        <w:t>(số lượng, tỷ lệ sở hữu cổ phần/phần vốn góp, chức vụ đang nắm giữ tại doanh nghiệp...);</w:t>
      </w:r>
    </w:p>
    <w:p w14:paraId="1994B8B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797E3E0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Thông tin về thành viên Hội đồng quản trị, Kiểm soát viên, Tổng giám đốc (Giám đốc), Phó Tổng giám đốc (Phó Giám đốc), Kế toán trưởng</w:t>
      </w:r>
    </w:p>
    <w:p w14:paraId="7B1FA48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07F7E29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4BBC144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p>
    <w:p w14:paraId="0962600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p>
    <w:p w14:paraId="1E09BE0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Tổ chức phát hành của cá nhân, người đại diện theo ủy quyền và những người có liên quan của họ;</w:t>
      </w:r>
    </w:p>
    <w:p w14:paraId="76CC378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phát hành;</w:t>
      </w:r>
    </w:p>
    <w:p w14:paraId="137B5B9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Lợi ích liên quan đối với Tổ chức phát hành:</w:t>
      </w:r>
    </w:p>
    <w:p w14:paraId="7E74603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công ty con của Tổ chức phát hành, công ty do Tổ chức phát hành nắm quyền kiểm soát trên 50% vốn điều lệ với thành viên Hội đồng quản trị, Kiểm soát viên, Tổng giám đốc (Giám đốc), Phó Tổng giám đốc (Phó Giám đốc), Kế toán trưởng và những người có liên quan của họ </w:t>
      </w:r>
      <w:r w:rsidRPr="00F15AA7">
        <w:rPr>
          <w:rFonts w:ascii="Arial" w:hAnsi="Arial" w:cs="Arial"/>
          <w:i/>
          <w:iCs/>
        </w:rPr>
        <w:t>(loại giao dịch, giá trị giao dịch, các điều khoản quan trọng khác của hợp đồng; cấp có thẩm quyền chấp thuận);</w:t>
      </w:r>
    </w:p>
    <w:p w14:paraId="519C84C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Thù lao, tiền lương và các lợi ích khác </w:t>
      </w:r>
      <w:r w:rsidRPr="00F15AA7">
        <w:rPr>
          <w:rFonts w:ascii="Arial" w:hAnsi="Arial" w:cs="Arial"/>
          <w:i/>
          <w:iCs/>
        </w:rPr>
        <w:t>(tiền thưởng, cổ phiếu được nhận theo chương trình lựa chọn cho người lao động (số lượng, giá)...)</w:t>
      </w:r>
      <w:r w:rsidRPr="00F15AA7">
        <w:rPr>
          <w:rFonts w:ascii="Arial" w:hAnsi="Arial" w:cs="Arial"/>
        </w:rPr>
        <w:t xml:space="preserve"> trong 02 năm liên tục liền trước năm đăng ký chào bán và đến thời điểm hiện tại.</w:t>
      </w:r>
    </w:p>
    <w:p w14:paraId="7C9DF1B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p>
    <w:p w14:paraId="524E371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phát hành hoặc là khách hàng/nhà cung cấp lớn của Tổ chức phát hành, nêu các thông tin sau:</w:t>
      </w:r>
    </w:p>
    <w:p w14:paraId="1DA4704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Tên của doanh nghiệp;</w:t>
      </w:r>
    </w:p>
    <w:p w14:paraId="487353F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p>
    <w:p w14:paraId="0B69093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các đối tượng này và những người có liên quan của họ với doanh nghiệp </w:t>
      </w:r>
      <w:r w:rsidRPr="00F15AA7">
        <w:rPr>
          <w:rFonts w:ascii="Arial" w:hAnsi="Arial" w:cs="Arial"/>
          <w:i/>
          <w:iCs/>
        </w:rPr>
        <w:t>(số lượng, tỷ lệ sở hữu cổ phần/phần vốn góp, chức vụ đang nắm giữ tại doanh nghiệp...);</w:t>
      </w:r>
    </w:p>
    <w:p w14:paraId="57935EB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4BA492B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VII. THÔNG TIN VỀ ĐỢT CHÀO BÁN</w:t>
      </w:r>
    </w:p>
    <w:p w14:paraId="039DCF0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Loại cổ phiếu</w:t>
      </w:r>
    </w:p>
    <w:p w14:paraId="581BF0C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Mệnh giá cổ phiếu:</w:t>
      </w:r>
      <w:r w:rsidRPr="00F15AA7">
        <w:rPr>
          <w:rFonts w:ascii="Arial" w:hAnsi="Arial" w:cs="Arial"/>
        </w:rPr>
        <w:t xml:space="preserve"> 10.000 đồng/cổ phiếu</w:t>
      </w:r>
    </w:p>
    <w:p w14:paraId="42F09C5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Tổng số lượng cổ phiếu chào bán</w:t>
      </w:r>
    </w:p>
    <w:p w14:paraId="23ABA41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Nêu tổng số lượng cổ phiếu chào bán;</w:t>
      </w:r>
    </w:p>
    <w:p w14:paraId="0AC27C9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chào bán cổ phiếu cho nhiều đợt, nêu số lượng cổ phiếu dự kiến chào bán của từng đợt.</w:t>
      </w:r>
    </w:p>
    <w:p w14:paraId="62337BB5"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4. Tổng giá trị cổ phiếu chào bán theo mệnh giá</w:t>
      </w:r>
    </w:p>
    <w:p w14:paraId="6C1DC57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Nêu tổng giá trị cổ phiếu chào bán theo mệnh giá;</w:t>
      </w:r>
    </w:p>
    <w:p w14:paraId="4D2C4F1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chào bán cổ phiếu cho nhiều đợt, nêu giá trị cổ phiếu dự kiến chào bán của từng đợt theo mệnh giá.</w:t>
      </w:r>
    </w:p>
    <w:p w14:paraId="37E3643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5. Giá chào bán dự kiến:</w:t>
      </w:r>
      <w:r w:rsidRPr="00F15AA7">
        <w:rPr>
          <w:rFonts w:ascii="Arial" w:hAnsi="Arial" w:cs="Arial"/>
        </w:rPr>
        <w:t>….. đồng/cổ phiếu</w:t>
      </w:r>
    </w:p>
    <w:p w14:paraId="2987C48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6. Phương pháp tính giá</w:t>
      </w:r>
    </w:p>
    <w:p w14:paraId="588A69B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Nêu phương pháp tính giá cổ phiếu chào bán;</w:t>
      </w:r>
    </w:p>
    <w:p w14:paraId="510798E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chào bán cổ phiếu với giá thấp hơn mệnh giá, nêu các thông tin sau:</w:t>
      </w:r>
    </w:p>
    <w:p w14:paraId="2B81D1E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Giá cổ phiếu tham chiếu bình quân từ ngày ... đến ngày ... (60 ngày giao dịch liên tiếp liền trước ngày chốt danh sách cổ đông để lấy ý kiến hoặc họp Đại hội đồng cổ đông thông qua phương án chào bán): …… đồng/cổ phiếu;</w:t>
      </w:r>
    </w:p>
    <w:p w14:paraId="2E5F3C2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Tổng giá trị thặng dư bù đắp dự kiến:……. </w:t>
      </w:r>
      <w:r w:rsidRPr="00F15AA7">
        <w:rPr>
          <w:rFonts w:ascii="Arial" w:hAnsi="Arial" w:cs="Arial"/>
          <w:i/>
          <w:iCs/>
        </w:rPr>
        <w:t>(bằng tổng số lượng cổ phiếu chào bán x phần chênh lệch giữa mệnh giá và giá chào bán cổ phiếu);</w:t>
      </w:r>
    </w:p>
    <w:p w14:paraId="1694645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Thặng dư vốn cổ phần căn cứ trên Báo cáo tài chính được kiểm toán (kỳ gần nhất):…… đồng, tại thời điểm ……. </w:t>
      </w:r>
    </w:p>
    <w:p w14:paraId="55DA16D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7. Phương thức phân phối</w:t>
      </w:r>
    </w:p>
    <w:p w14:paraId="2AAB7A5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phân phối thông qua bảo lãnh phát hành: nêu tên tổ chức bảo lãnh phát hành, phương thức bảo lãnh, tên từng tổ chức bảo lãnh phát hành kèm số lượng cổ phần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các điều khoản quan trọng khác. Trường hợp đợt chào bán không có bảo lãnh phát hành thì phải nêu rõ;</w:t>
      </w:r>
    </w:p>
    <w:p w14:paraId="0F8150F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cổ phiếu;</w:t>
      </w:r>
    </w:p>
    <w:p w14:paraId="6F0B189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chào bán thông qua đấu giá: nêu tên, trách nhiệm của Tổ chức đấu giá trong việc phân phối cổ phiếu, nguyên tắc phân phối;</w:t>
      </w:r>
    </w:p>
    <w:p w14:paraId="17BC7B4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chào bán cho cổ đông hiện hữu tương ứng với tỷ lệ cổ phiếu nắm giữ: nêu tỷ lệ phân phối, phương án xử lý phần lẻ cổ phần, cổ phiếu lẻ và số cổ phiếu mà cổ đông hiện hữu không đăng ký mua hết </w:t>
      </w:r>
      <w:r w:rsidRPr="00F15AA7">
        <w:rPr>
          <w:rFonts w:ascii="Arial" w:hAnsi="Arial" w:cs="Arial"/>
          <w:i/>
          <w:iCs/>
        </w:rPr>
        <w:t>(đảm bảo nguyên tắc phân phối không ưu đãi hơn số cổ phiếu phân phối cho cổ đông hiện hữu, trừ trường hợp Đại hội đồng cổ đông có chấp thuận khác);</w:t>
      </w:r>
    </w:p>
    <w:p w14:paraId="34D1513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chào bán cho trên 100 nhà đầu tư xác định: nêu phương thức phân phối.</w:t>
      </w:r>
    </w:p>
    <w:p w14:paraId="5D268F3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8. Đăng ký mua cổ phiếu</w:t>
      </w:r>
    </w:p>
    <w:p w14:paraId="2B50123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Số lượng cổ phiếu đăng ký mua tối thiểu, thời hạn, phương thức xử lý trong trường hợp số lượng cổ phiếu đăng ký mua không đạt mức tối thiểu </w:t>
      </w:r>
      <w:r w:rsidRPr="00F15AA7">
        <w:rPr>
          <w:rFonts w:ascii="Arial" w:hAnsi="Arial" w:cs="Arial"/>
          <w:i/>
          <w:iCs/>
        </w:rPr>
        <w:t>(nếu có);</w:t>
      </w:r>
    </w:p>
    <w:p w14:paraId="39D7591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cổ phiếu.</w:t>
      </w:r>
    </w:p>
    <w:p w14:paraId="1580A48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9. Lịch trình dự kiến phân phối cổ phiếu</w:t>
      </w:r>
    </w:p>
    <w:p w14:paraId="033500E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Lịch trình dự kiến, trong đó nêu thời hạn công bố thông tin về đợt chào bán </w:t>
      </w:r>
      <w:r w:rsidRPr="00F15AA7">
        <w:rPr>
          <w:rFonts w:ascii="Arial" w:hAnsi="Arial" w:cs="Arial"/>
          <w:i/>
          <w:iCs/>
        </w:rPr>
        <w:t>(trong thời hạn 07 ngày làm việc kể từ ngày Ủy ban Chứng khoán Nhà nước cấp Giấy chứng nhận đăng ký chào bán),</w:t>
      </w:r>
      <w:r w:rsidRPr="00F15AA7">
        <w:rPr>
          <w:rFonts w:ascii="Arial" w:hAnsi="Arial" w:cs="Arial"/>
        </w:rPr>
        <w:t xml:space="preserve"> thời hạn đăng ký mua cho nhà đầu tư </w:t>
      </w:r>
      <w:r w:rsidRPr="00F15AA7">
        <w:rPr>
          <w:rFonts w:ascii="Arial" w:hAnsi="Arial" w:cs="Arial"/>
          <w:i/>
          <w:iCs/>
        </w:rPr>
        <w:t>(tối thiểu 20 ngày),</w:t>
      </w:r>
      <w:r w:rsidRPr="00F15AA7">
        <w:rPr>
          <w:rFonts w:ascii="Arial" w:hAnsi="Arial" w:cs="Arial"/>
        </w:rPr>
        <w:t xml:space="preserve"> thời hạn nộp tiền mua cổ phiếu, thời gian chuyển giao cổ phiếu cho nhà đầu tư;</w:t>
      </w:r>
    </w:p>
    <w:p w14:paraId="23713FD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Tổ chức phát hành đăng ký chào bán cổ phiếu cho nhiều đợt, nêu lịch trình dự kiến của từng đợt </w:t>
      </w:r>
      <w:r w:rsidRPr="00F15AA7">
        <w:rPr>
          <w:rFonts w:ascii="Arial" w:hAnsi="Arial" w:cs="Arial"/>
          <w:i/>
          <w:iCs/>
        </w:rPr>
        <w:t>(khoảng cách giữa đợt chào bán sau với đợi chào bán trước không quá 12 tháng).</w:t>
      </w:r>
    </w:p>
    <w:p w14:paraId="4AAA05D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10. Phương thức thực hiện quyền</w:t>
      </w:r>
      <w:r w:rsidRPr="00F15AA7">
        <w:rPr>
          <w:rFonts w:ascii="Arial" w:hAnsi="Arial" w:cs="Arial"/>
        </w:rPr>
        <w:t xml:space="preserve"> </w:t>
      </w:r>
      <w:r w:rsidRPr="00F15AA7">
        <w:rPr>
          <w:rFonts w:ascii="Arial" w:hAnsi="Arial" w:cs="Arial"/>
          <w:i/>
          <w:iCs/>
        </w:rPr>
        <w:t>(trường hợp chào bán cổ phiếu ưu đãi)</w:t>
      </w:r>
    </w:p>
    <w:p w14:paraId="77AF4D4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Các quyền của người sở hữu cổ phiếu ưu đãi;</w:t>
      </w:r>
    </w:p>
    <w:p w14:paraId="1B34181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Điều kiện, thời gian thực hiện quyền;</w:t>
      </w:r>
    </w:p>
    <w:p w14:paraId="388C59C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Tỷ lệ chuyển đổi và phương pháp tính giá mua và/hoặc chuyển đổi;</w:t>
      </w:r>
    </w:p>
    <w:p w14:paraId="7B5E29E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Phương pháp tính và đền bù thiệt hại trong trường hợp không thực hiện được quyền;</w:t>
      </w:r>
    </w:p>
    <w:p w14:paraId="667B26C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Các điều khoản khác liên quan đến quyền lợi của người sở hữu quyền mua cổ phần, chứng quyền, cổ phiếu ưu đãi.</w:t>
      </w:r>
    </w:p>
    <w:p w14:paraId="1D8AF39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11. Các hạn chế liên quan đến việc chuyển nhượng cổ phiếu</w:t>
      </w:r>
    </w:p>
    <w:p w14:paraId="76AEA44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12. Tài khoản phong tỏa nhận tiền mua cổ phiếu</w:t>
      </w:r>
    </w:p>
    <w:p w14:paraId="24E1A7F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Tổ chức phát hành);</w:t>
      </w:r>
    </w:p>
    <w:p w14:paraId="7FF4822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Tên ngân hàng nơi mở tài khoản </w:t>
      </w:r>
      <w:r w:rsidRPr="00F15AA7">
        <w:rPr>
          <w:rFonts w:ascii="Arial" w:hAnsi="Arial" w:cs="Arial"/>
          <w:i/>
          <w:iCs/>
        </w:rPr>
        <w:t>(không phải là người có liên quan của Tổ chức phát hành, trường hợp Tổ chức phát hành là ngân hàng thương mại thì phải lựa chọn một ngân hàng thương mại khác/chi nhánh ngân hàng nước ngoài).</w:t>
      </w:r>
    </w:p>
    <w:p w14:paraId="62329F9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13. Ý kiến của cơ quan có thẩm quyền về đợt tăng vốn điều lệ của Tổ chức phát hành</w:t>
      </w:r>
      <w:r w:rsidRPr="00F15AA7">
        <w:rPr>
          <w:rFonts w:ascii="Arial" w:hAnsi="Arial" w:cs="Arial"/>
        </w:rPr>
        <w:t xml:space="preserve"> </w:t>
      </w:r>
      <w:r w:rsidRPr="00F15AA7">
        <w:rPr>
          <w:rFonts w:ascii="Arial" w:hAnsi="Arial" w:cs="Arial"/>
          <w:i/>
          <w:iCs/>
        </w:rPr>
        <w:t>(trường hợp Tổ chức phát hành thuộc ngành nghề kinh doanh có điều kiện mà pháp luật chuyên ngành quy định phải có chấp thuận của cơ quan quản lý nhà nước có thẩm quyền)</w:t>
      </w:r>
    </w:p>
    <w:p w14:paraId="4B22046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14. Hủy bỏ đợt chào bán</w:t>
      </w:r>
      <w:r w:rsidRPr="00F15AA7">
        <w:rPr>
          <w:rFonts w:ascii="Arial" w:hAnsi="Arial" w:cs="Arial"/>
        </w:rPr>
        <w:t xml:space="preserve"> </w:t>
      </w:r>
      <w:r w:rsidRPr="00F15AA7">
        <w:rPr>
          <w:rFonts w:ascii="Arial" w:hAnsi="Arial" w:cs="Arial"/>
          <w:i/>
          <w:iCs/>
        </w:rPr>
        <w:t>(đối với đợt chào bán để thực hiện dự án trừ trường hợp chào bán cho các cổ đông hiện hữu theo tỷ lệ sở hữu)</w:t>
      </w:r>
    </w:p>
    <w:p w14:paraId="730FD05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Đợt chào bán bị hủy bỏ trong trường hợp số lượng cổ phiếu được bán cho các nhà đầu tư không đạt tối thiểu ….. </w:t>
      </w:r>
      <w:r w:rsidRPr="00F15AA7">
        <w:rPr>
          <w:rFonts w:ascii="Arial" w:hAnsi="Arial" w:cs="Arial"/>
          <w:i/>
          <w:iCs/>
        </w:rPr>
        <w:t>(nêu số cổ phiếu, tỷ lệ);</w:t>
      </w:r>
    </w:p>
    <w:p w14:paraId="40B95DAC"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Nêu thời hạn, phương thức thu hồi và hoàn trả tiền cho nhà đầu tư; các điều khoản cam kết về bồi thường thiệt hại cho nhà đầu tư trong trường hợp quá thời hạn nêu trên.</w:t>
      </w:r>
    </w:p>
    <w:p w14:paraId="224B59E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15. Biện pháp đảm bảo tuân thủ quy định về sở hữu nước ngoài</w:t>
      </w:r>
    </w:p>
    <w:p w14:paraId="3FC4417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16. Các loại thuế có liên quan</w:t>
      </w:r>
      <w:r w:rsidRPr="00F15AA7">
        <w:rPr>
          <w:rFonts w:ascii="Arial" w:hAnsi="Arial" w:cs="Arial"/>
        </w:rPr>
        <w:t xml:space="preserve"> </w:t>
      </w:r>
      <w:r w:rsidRPr="00F15AA7">
        <w:rPr>
          <w:rFonts w:ascii="Arial" w:hAnsi="Arial" w:cs="Arial"/>
          <w:i/>
          <w:iCs/>
        </w:rPr>
        <w:t>(thuế thu nhập và các thuế khác liên quan đến cổ phiếu chào bán)</w:t>
      </w:r>
    </w:p>
    <w:p w14:paraId="6710509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17. Thông tin về các cam kết</w:t>
      </w:r>
    </w:p>
    <w:p w14:paraId="77EF987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Cam kết về việc thực hiện niêm yết hoặc đăng ký giao dịch trên hệ thống giao dịch chứng khoán </w:t>
      </w:r>
      <w:r w:rsidRPr="00F15AA7">
        <w:rPr>
          <w:rFonts w:ascii="Arial" w:hAnsi="Arial" w:cs="Arial"/>
          <w:i/>
          <w:iCs/>
        </w:rPr>
        <w:t>(nêu kế hoạch cụ thể, đảm bảo tuân thủ quy định việc Tổ chức phát hành phải hoàn thiện hồ sơ đăng ký niêm yết hoặc đăng ký giao dịch cổ phiếu trong thời hạn 30 ngày kể từ ngày kết thúc đợt chào bán thêm cổ phiếu ra công chúng);</w:t>
      </w:r>
    </w:p>
    <w:p w14:paraId="3DB8627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Cam kết khác liên quan đến đợt chào bán </w:t>
      </w:r>
      <w:r w:rsidRPr="00F15AA7">
        <w:rPr>
          <w:rFonts w:ascii="Arial" w:hAnsi="Arial" w:cs="Arial"/>
          <w:i/>
          <w:iCs/>
        </w:rPr>
        <w:t>(nếu có).</w:t>
      </w:r>
    </w:p>
    <w:p w14:paraId="65A5943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18. Thông tin về các chứng khoán khác được chào bán, phát hành trong cùng đợt</w:t>
      </w:r>
      <w:r w:rsidRPr="00F15AA7">
        <w:rPr>
          <w:rFonts w:ascii="Arial" w:hAnsi="Arial" w:cs="Arial"/>
        </w:rPr>
        <w:t xml:space="preserve"> </w:t>
      </w:r>
      <w:r w:rsidRPr="00F15AA7">
        <w:rPr>
          <w:rFonts w:ascii="Arial" w:hAnsi="Arial" w:cs="Arial"/>
          <w:i/>
          <w:iCs/>
        </w:rPr>
        <w:t>(nêu phương thức, số lượng, giá chào bán theo từng loại chứng khoán chào bán, phát hành (nếu có))</w:t>
      </w:r>
    </w:p>
    <w:p w14:paraId="1C330168"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VIII. MỤC ĐÍCH CHÀO BÁN</w:t>
      </w:r>
    </w:p>
    <w:p w14:paraId="6BC9B1F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Mục đích chào bán</w:t>
      </w:r>
    </w:p>
    <w:p w14:paraId="33BC6F7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Phương án khả thi</w:t>
      </w:r>
      <w:r w:rsidRPr="00F15AA7">
        <w:rPr>
          <w:rFonts w:ascii="Arial" w:hAnsi="Arial" w:cs="Arial"/>
        </w:rPr>
        <w:t xml:space="preserve"> </w:t>
      </w:r>
      <w:r w:rsidRPr="00F15AA7">
        <w:rPr>
          <w:rFonts w:ascii="Arial" w:hAnsi="Arial" w:cs="Arial"/>
          <w:i/>
          <w:iCs/>
        </w:rPr>
        <w:t>(trường hợp huy động vốn để thực hiện dự án)</w:t>
      </w:r>
    </w:p>
    <w:p w14:paraId="5F0D57C9"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Thông tin về phương án khả thi: cơ quan lập, cấp có thẩm quyền phê duyệt, các nội dung chính </w:t>
      </w:r>
      <w:r w:rsidRPr="00F15AA7">
        <w:rPr>
          <w:rFonts w:ascii="Arial" w:hAnsi="Arial" w:cs="Arial"/>
          <w:i/>
          <w:iCs/>
        </w:rPr>
        <w:t>(mục đích, kế hoạch triển khai, đối tác tham gia, các vấn đề về tài chính...);</w:t>
      </w:r>
    </w:p>
    <w:p w14:paraId="1DEDAA4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dự án có sử dụng vốn vay ngân hàng, nêu cam kết cấp hạn mức tín dụng của ngân hàng;</w:t>
      </w:r>
    </w:p>
    <w:p w14:paraId="41A9A9E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chuyên môn độc lập về phương án khả thi </w:t>
      </w:r>
      <w:r w:rsidRPr="00F15AA7">
        <w:rPr>
          <w:rFonts w:ascii="Arial" w:hAnsi="Arial" w:cs="Arial"/>
          <w:i/>
          <w:iCs/>
        </w:rPr>
        <w:t>(nếu có).</w:t>
      </w:r>
    </w:p>
    <w:p w14:paraId="24E8BDEB"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Thông tin về tình hình triển khai dự án</w:t>
      </w:r>
    </w:p>
    <w:p w14:paraId="0FCAAB8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Cơ sở pháp lý để triển khai dự án: các tài liệu pháp lý để triển khai dự án theo quy định </w:t>
      </w:r>
      <w:r w:rsidRPr="00F15AA7">
        <w:rPr>
          <w:rFonts w:ascii="Arial" w:hAnsi="Arial" w:cs="Arial"/>
          <w:i/>
          <w:iCs/>
        </w:rPr>
        <w:t xml:space="preserve">(như quyết định của cơ quan có thẩm quyền phê duyệt dự án, tài liệu pháp lý về quyền sử dụng đất, giấy chứng nhận đầu tư, giấy phép xây dựng...), </w:t>
      </w:r>
      <w:r w:rsidRPr="00F15AA7">
        <w:rPr>
          <w:rFonts w:ascii="Arial" w:hAnsi="Arial" w:cs="Arial"/>
        </w:rPr>
        <w:t>đồng thời cập nhật tình hình phê duyệt của cấp có thẩm quyền;</w:t>
      </w:r>
    </w:p>
    <w:p w14:paraId="6D2314A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Tình hình triển khai dự án đến thời điểm hiện tại </w:t>
      </w:r>
      <w:r w:rsidRPr="00F15AA7">
        <w:rPr>
          <w:rFonts w:ascii="Arial" w:hAnsi="Arial" w:cs="Arial"/>
          <w:i/>
          <w:iCs/>
        </w:rPr>
        <w:t>(nêu các hạng mục đã hoàn thành, đang triển khai, dự kiến triển khai, thời gian dự kiến đưa vào hoạt động, khai thác...);</w:t>
      </w:r>
      <w:r w:rsidRPr="00F15AA7">
        <w:rPr>
          <w:rFonts w:ascii="Arial" w:hAnsi="Arial" w:cs="Arial"/>
        </w:rPr>
        <w:t xml:space="preserve"> giải trình những thay đổi so với phương án đã được phê duyệt </w:t>
      </w:r>
      <w:r w:rsidRPr="00F15AA7">
        <w:rPr>
          <w:rFonts w:ascii="Arial" w:hAnsi="Arial" w:cs="Arial"/>
          <w:i/>
          <w:iCs/>
        </w:rPr>
        <w:t>(nếu có);</w:t>
      </w:r>
    </w:p>
    <w:p w14:paraId="75DB8CB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Tình hình thu xếp vốn đối với dự án </w:t>
      </w:r>
      <w:r w:rsidRPr="00F15AA7">
        <w:rPr>
          <w:rFonts w:ascii="Arial" w:hAnsi="Arial" w:cs="Arial"/>
          <w:i/>
          <w:iCs/>
        </w:rPr>
        <w:t>(bao gồm vốn tự có, vốn vay, vốn huy động khác...);</w:t>
      </w:r>
      <w:r w:rsidRPr="00F15AA7">
        <w:rPr>
          <w:rFonts w:ascii="Arial" w:hAnsi="Arial" w:cs="Arial"/>
        </w:rPr>
        <w:t xml:space="preserve"> giải trình những thay đổi về tổng vốn đầu tư, cơ cấu vốn so với phương án đã được phê duyệt; phương án bù đắp vốn trong trường hợp điều chỉnh tổng mức đầu tư, cơ cấu vốn.</w:t>
      </w:r>
    </w:p>
    <w:p w14:paraId="02B1A6FE"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IX. KẾ HOẠCH SỬ DỤNG SỐ TIỀN THU ĐƯỢC TỪ ĐỢT CHÀO BÁN</w:t>
      </w:r>
    </w:p>
    <w:p w14:paraId="74600A6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Tổng số tiền dự kiến thu được phân bổ theo từng mục đích sử dụng </w:t>
      </w:r>
      <w:r w:rsidRPr="00F15AA7">
        <w:rPr>
          <w:rFonts w:ascii="Arial" w:hAnsi="Arial" w:cs="Arial"/>
          <w:i/>
          <w:iCs/>
        </w:rPr>
        <w:t>(hạng mục cụ thể, thời gian dự kiến giải ngân theo từng hạng mục)</w:t>
      </w:r>
      <w:r w:rsidRPr="00F15AA7">
        <w:rPr>
          <w:rFonts w:ascii="Arial" w:hAnsi="Arial" w:cs="Arial"/>
        </w:rPr>
        <w:t>. Trường hợp số tiền thu được không đủ để sử dụng cho toàn bộ mục đích dự kiến, nêu thứ tự mục đích ưu tiên, số tiền và nguồn tài trợ khác cần có;</w:t>
      </w:r>
    </w:p>
    <w:p w14:paraId="237C111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số tiền thu được từ đợt chào bán được sử dụng để thực hiện dự án và đợt chào bán không được bảo lãnh phát hành với cam kết nhận mua toàn bộ cổ phiếu của Tổ chức phát hành để bán lại hoặc mua số cổ phiếu còn lại chưa được phân phối hết của Tổ chức phát hành, nêu tỷ lệ chào bán thành công cho mục đích thực hiện dự án </w:t>
      </w:r>
      <w:r w:rsidRPr="00F15AA7">
        <w:rPr>
          <w:rFonts w:ascii="Arial" w:hAnsi="Arial" w:cs="Arial"/>
          <w:i/>
          <w:iCs/>
        </w:rPr>
        <w:t xml:space="preserve">(tối thiểu 70% tổng số cổ phiếu chào bán để thực hiện các dự án, trừ trường hợp chào bán cho các cổ đông hiện hữu theo tỷ lệ sở hữu), </w:t>
      </w:r>
      <w:r w:rsidRPr="00F15AA7">
        <w:rPr>
          <w:rFonts w:ascii="Arial" w:hAnsi="Arial" w:cs="Arial"/>
        </w:rPr>
        <w:t>phương án bù đắp phần thiếu hụt vốn dự kiến huy động từ đợt chào bán để thực hiện các dự án;</w:t>
      </w:r>
    </w:p>
    <w:p w14:paraId="69A8CA6A"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mua tài sản, nêu thông tin về tài sản, đối tác, chi phí mua dự kiến;</w:t>
      </w:r>
    </w:p>
    <w:p w14:paraId="0B6A38A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vốn điều lệ...),</w:t>
      </w:r>
      <w:r w:rsidRPr="00F15AA7">
        <w:rPr>
          <w:rFonts w:ascii="Arial" w:hAnsi="Arial" w:cs="Arial"/>
        </w:rPr>
        <w:t xml:space="preserve"> thông tin về người bán </w:t>
      </w:r>
      <w:r w:rsidRPr="00F15AA7">
        <w:rPr>
          <w:rFonts w:ascii="Arial" w:hAnsi="Arial" w:cs="Arial"/>
          <w:i/>
          <w:iCs/>
        </w:rPr>
        <w:t>(trường hợp mua lại vốn góp),</w:t>
      </w:r>
      <w:r w:rsidRPr="00F15AA7">
        <w:rPr>
          <w:rFonts w:ascii="Arial" w:hAnsi="Arial" w:cs="Arial"/>
        </w:rPr>
        <w:t xml:space="preserve"> mối quan hệ với Tổ chức phát hành và người có liên quan của Tổ chức phát hành, thông tin về việc góp vốn/mua lại </w:t>
      </w:r>
      <w:r w:rsidRPr="00F15AA7">
        <w:rPr>
          <w:rFonts w:ascii="Arial" w:hAnsi="Arial" w:cs="Arial"/>
          <w:i/>
          <w:iCs/>
        </w:rPr>
        <w:t>(cơ sở pháp lý, tiến độ thực hiện, giá trị thực hiện, tỷ lệ sở hữu trước và sau khi góp vốn/mua lại...);</w:t>
      </w:r>
    </w:p>
    <w:p w14:paraId="050C009D"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thanh toán các khoản nợ, nêu thông tin về chủ nợ </w:t>
      </w:r>
      <w:r w:rsidRPr="00F15AA7">
        <w:rPr>
          <w:rFonts w:ascii="Arial" w:hAnsi="Arial" w:cs="Arial"/>
          <w:i/>
          <w:iCs/>
        </w:rPr>
        <w:t xml:space="preserve">(tên, mối quan hệ với Tổ chức phát hành và người có liên quan của Tổ chức phát hành), </w:t>
      </w:r>
      <w:r w:rsidRPr="00F15AA7">
        <w:rPr>
          <w:rFonts w:ascii="Arial" w:hAnsi="Arial" w:cs="Arial"/>
        </w:rPr>
        <w:t>giá trị hợp đồng, lãi suất, kỳ hạn, thời gian dự kiến trả nợ, mục đích vay nợ...;</w:t>
      </w:r>
    </w:p>
    <w:p w14:paraId="3880456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bổ sung vốn lưu động, nêu số tiền dự kiến sử dụng cho từng khoản mục;</w:t>
      </w:r>
    </w:p>
    <w:p w14:paraId="2BF2528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Trường hợp Tổ chức phát hành đăng ký chào bán cổ phiếu cho nhiều đợt, nêu kế hoạch sử dụng tiền thu được của từng đợt theo các nội dung nêu trên.</w:t>
      </w:r>
    </w:p>
    <w:p w14:paraId="0A542EE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 CÁC ĐỐI TÁC LIÊN QUAN TỚI ĐỢT CHÀO BÁN</w:t>
      </w:r>
    </w:p>
    <w:p w14:paraId="5A97258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Nêu tên, địa chỉ trụ sở chính của các đối tác liên quan đến đợt chào bán: Tổ chức bảo lãnh phát hành hoặc Đại lý phân phối, Tổ chức kiểm toán, Tổ chức tư vấn...;</w:t>
      </w:r>
    </w:p>
    <w:p w14:paraId="7388C526"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Tổ chức tư vấn nêu ý kiến về đợt chào bán;</w:t>
      </w:r>
    </w:p>
    <w:p w14:paraId="610039B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60B3058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lastRenderedPageBreak/>
        <w:t xml:space="preserve">XI. CÁC THÔNG TIN QUAN TRỌNG KHÁC CÓ THỂ ẢNH HƯỞNG ĐẾN QUYẾT ĐỊNH CỦA NHÀ ĐẦU TƯ </w:t>
      </w:r>
      <w:r w:rsidRPr="00F15AA7">
        <w:rPr>
          <w:rFonts w:ascii="Arial" w:hAnsi="Arial" w:cs="Arial"/>
          <w:i/>
          <w:iCs/>
        </w:rPr>
        <w:t>(nếu có)</w:t>
      </w:r>
    </w:p>
    <w:p w14:paraId="4EE738DF"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r w:rsidRPr="00F15AA7">
        <w:rPr>
          <w:rFonts w:ascii="Arial" w:hAnsi="Arial" w:cs="Arial"/>
          <w:i/>
          <w:iCs/>
        </w:rPr>
        <w:t xml:space="preserve"> (trường hợp có tổ hợp bảo lãnh phát hành) (nếu có)</w:t>
      </w:r>
    </w:p>
    <w:p w14:paraId="177DAB64"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XIII. PHỤ LỤC</w:t>
      </w:r>
    </w:p>
    <w:p w14:paraId="4B24CFC7"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tờ pháp lý có giá trị tương đương</w:t>
      </w:r>
    </w:p>
    <w:p w14:paraId="5E43E4D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Quyết định của Đại hội đồng cổ đông và Hội đồng quản trị</w:t>
      </w:r>
    </w:p>
    <w:p w14:paraId="6DAE6331"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Điều lệ công ty</w:t>
      </w:r>
    </w:p>
    <w:p w14:paraId="56204842"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4. Phụ lục IV:</w:t>
      </w:r>
      <w:r w:rsidRPr="00F15AA7">
        <w:rPr>
          <w:rFonts w:ascii="Arial" w:hAnsi="Arial" w:cs="Arial"/>
        </w:rPr>
        <w:t xml:space="preserve"> Báo cáo tài chính 02 năm gần nhất được kiểm toán, Báo cáo tài chính bán niên của năm đăng ký chào bán được kiểm toán/soát xét </w:t>
      </w:r>
      <w:r w:rsidRPr="00F15AA7">
        <w:rPr>
          <w:rFonts w:ascii="Arial" w:hAnsi="Arial" w:cs="Arial"/>
          <w:i/>
          <w:iCs/>
        </w:rPr>
        <w:t>(nếu có)</w:t>
      </w:r>
      <w:r w:rsidRPr="00F15AA7">
        <w:rPr>
          <w:rFonts w:ascii="Arial" w:hAnsi="Arial" w:cs="Arial"/>
        </w:rPr>
        <w:t xml:space="preserve"> và Báo cáo tài chính quý gần nhất</w:t>
      </w:r>
    </w:p>
    <w:p w14:paraId="2F80F6C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5. Phụ lục V:</w:t>
      </w:r>
      <w:r w:rsidRPr="00F15AA7">
        <w:rPr>
          <w:rFonts w:ascii="Arial" w:hAnsi="Arial" w:cs="Arial"/>
        </w:rPr>
        <w:t xml:space="preserve"> Báo cáo sử dụng vốn thu được từ đợt chào bán gần nhất được kiểm toán </w:t>
      </w:r>
      <w:r w:rsidRPr="00F15AA7">
        <w:rPr>
          <w:rFonts w:ascii="Arial" w:hAnsi="Arial" w:cs="Arial"/>
          <w:i/>
          <w:iCs/>
        </w:rPr>
        <w:t>(nếu có)</w:t>
      </w:r>
    </w:p>
    <w:p w14:paraId="0186F760"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6. Phụ lục VI:</w:t>
      </w:r>
      <w:r w:rsidRPr="00F15AA7">
        <w:rPr>
          <w:rFonts w:ascii="Arial" w:hAnsi="Arial" w:cs="Arial"/>
        </w:rPr>
        <w:t xml:space="preserve"> Danh mục các tài liệu pháp lý của dự án </w:t>
      </w:r>
      <w:r w:rsidRPr="00F15AA7">
        <w:rPr>
          <w:rFonts w:ascii="Arial" w:hAnsi="Arial" w:cs="Arial"/>
          <w:i/>
          <w:iCs/>
        </w:rPr>
        <w:t>(nếu có)</w:t>
      </w:r>
    </w:p>
    <w:p w14:paraId="31CCC64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b/>
          <w:bCs/>
        </w:rPr>
        <w:t>7. Các phụ lục khác</w:t>
      </w:r>
      <w:r w:rsidRPr="00F15AA7">
        <w:rPr>
          <w:rFonts w:ascii="Arial" w:hAnsi="Arial" w:cs="Arial"/>
        </w:rPr>
        <w:t xml:space="preserve"> </w:t>
      </w:r>
      <w:r w:rsidRPr="00F15AA7">
        <w:rPr>
          <w:rFonts w:ascii="Arial" w:hAnsi="Arial" w:cs="Arial"/>
          <w:i/>
          <w:iCs/>
        </w:rPr>
        <w:t>(nếu có).</w:t>
      </w:r>
    </w:p>
    <w:p w14:paraId="17DECE83" w14:textId="77777777" w:rsidR="006E5094" w:rsidRPr="00F15AA7" w:rsidRDefault="006E5094" w:rsidP="006E5094">
      <w:pPr>
        <w:adjustRightInd w:val="0"/>
        <w:snapToGrid w:val="0"/>
        <w:spacing w:line="240" w:lineRule="auto"/>
        <w:ind w:firstLine="720"/>
        <w:jc w:val="both"/>
        <w:rPr>
          <w:rFonts w:ascii="Arial" w:hAnsi="Arial" w:cs="Arial"/>
        </w:rPr>
      </w:pPr>
      <w:r w:rsidRPr="00F15AA7">
        <w:rPr>
          <w:rFonts w:ascii="Arial" w:hAnsi="Arial" w:cs="Arial"/>
        </w:rPr>
        <w:t> </w:t>
      </w:r>
    </w:p>
    <w:sectPr w:rsidR="006E5094" w:rsidRPr="00F15AA7"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3E1C24"/>
    <w:rsid w:val="00556DE7"/>
    <w:rsid w:val="006E5094"/>
    <w:rsid w:val="00987B06"/>
    <w:rsid w:val="00D80790"/>
    <w:rsid w:val="00E169A1"/>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6356</Words>
  <Characters>36232</Characters>
  <Application>Microsoft Office Word</Application>
  <DocSecurity>0</DocSecurity>
  <Lines>301</Lines>
  <Paragraphs>85</Paragraphs>
  <ScaleCrop>false</ScaleCrop>
  <Company/>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2025-12-22T06:31:00Z</dcterms:created>
  <dcterms:modified xsi:type="dcterms:W3CDTF">2025-12-22T06:31:00Z</dcterms:modified>
</cp:coreProperties>
</file>