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0EB41">
      <w:pPr>
        <w:keepNext w:val="0"/>
        <w:keepLines w:val="0"/>
        <w:pageBreakBefore w:val="0"/>
        <w:widowControl/>
        <w:kinsoku/>
        <w:wordWrap/>
        <w:overflowPunct/>
        <w:topLinePunct w:val="0"/>
        <w:autoSpaceDE/>
        <w:autoSpaceDN/>
        <w:bidi w:val="0"/>
        <w:adjustRightInd/>
        <w:snapToGrid/>
        <w:spacing w:before="181" w:beforeLines="50" w:line="240" w:lineRule="auto"/>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rPr>
        <w:t>2. Hồ sơ hoàn thuế đối với hàng hóa, dịch vụ mua trong nước bằng nguồn vốn ODA không hoàn lại gửi đến cơ quan thuế gồm:</w:t>
      </w:r>
    </w:p>
    <w:p w14:paraId="275DF65B">
      <w:pPr>
        <w:keepNext w:val="0"/>
        <w:keepLines w:val="0"/>
        <w:pageBreakBefore w:val="0"/>
        <w:widowControl/>
        <w:kinsoku/>
        <w:wordWrap/>
        <w:overflowPunct/>
        <w:topLinePunct w:val="0"/>
        <w:autoSpaceDE/>
        <w:autoSpaceDN/>
        <w:bidi w:val="0"/>
        <w:adjustRightInd/>
        <w:snapToGrid/>
        <w:spacing w:before="181" w:beforeLines="50" w:line="240" w:lineRule="auto"/>
        <w:textAlignment w:val="auto"/>
        <w:rPr>
          <w:rFonts w:hint="default" w:ascii="Times New Roman" w:hAnsi="Times New Roman" w:cs="Times New Roman"/>
          <w:sz w:val="26"/>
          <w:szCs w:val="26"/>
        </w:rPr>
      </w:pPr>
      <w:r>
        <w:rPr>
          <w:rFonts w:hint="default" w:ascii="Times New Roman" w:hAnsi="Times New Roman" w:cs="Times New Roman"/>
          <w:sz w:val="26"/>
          <w:szCs w:val="26"/>
        </w:rPr>
        <w:t>a)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ngoài: 01 bản chụp;</w:t>
      </w:r>
    </w:p>
    <w:p w14:paraId="11BCAB49">
      <w:pPr>
        <w:keepNext w:val="0"/>
        <w:keepLines w:val="0"/>
        <w:pageBreakBefore w:val="0"/>
        <w:widowControl/>
        <w:kinsoku/>
        <w:wordWrap/>
        <w:overflowPunct/>
        <w:topLinePunct w:val="0"/>
        <w:autoSpaceDE/>
        <w:autoSpaceDN/>
        <w:bidi w:val="0"/>
        <w:adjustRightInd/>
        <w:snapToGrid/>
        <w:spacing w:before="181" w:beforeLines="50" w:line="240" w:lineRule="auto"/>
        <w:textAlignment w:val="auto"/>
        <w:rPr>
          <w:rFonts w:hint="default" w:ascii="Times New Roman" w:hAnsi="Times New Roman" w:cs="Times New Roman"/>
          <w:sz w:val="26"/>
          <w:szCs w:val="26"/>
        </w:rPr>
      </w:pPr>
      <w:r>
        <w:rPr>
          <w:rFonts w:hint="default" w:ascii="Times New Roman" w:hAnsi="Times New Roman" w:cs="Times New Roman"/>
          <w:sz w:val="26"/>
          <w:szCs w:val="26"/>
        </w:rPr>
        <w:t>b) Quyết định phê duyệt Văn kiện dự án, phi dự án hoặc Quyết định đầu tư chương trình và Văn kiện dự án hoặc báo cáo nghiên cứu khả thi được phê duyệt: 01 bản chụp;</w:t>
      </w:r>
      <w:bookmarkStart w:id="0" w:name="_GoBack"/>
      <w:bookmarkEnd w:id="0"/>
    </w:p>
    <w:p w14:paraId="4689C584">
      <w:pPr>
        <w:keepNext w:val="0"/>
        <w:keepLines w:val="0"/>
        <w:pageBreakBefore w:val="0"/>
        <w:widowControl/>
        <w:kinsoku/>
        <w:wordWrap/>
        <w:overflowPunct/>
        <w:topLinePunct w:val="0"/>
        <w:autoSpaceDE/>
        <w:autoSpaceDN/>
        <w:bidi w:val="0"/>
        <w:adjustRightInd/>
        <w:snapToGrid/>
        <w:spacing w:before="181" w:beforeLines="50" w:line="240" w:lineRule="auto"/>
        <w:textAlignment w:val="auto"/>
        <w:rPr>
          <w:rFonts w:hint="default" w:ascii="Times New Roman" w:hAnsi="Times New Roman" w:cs="Times New Roman"/>
          <w:sz w:val="26"/>
          <w:szCs w:val="26"/>
        </w:rPr>
      </w:pPr>
      <w:r>
        <w:rPr>
          <w:rFonts w:hint="default" w:ascii="Times New Roman" w:hAnsi="Times New Roman" w:cs="Times New Roman"/>
          <w:sz w:val="26"/>
          <w:szCs w:val="26"/>
        </w:rPr>
        <w:t>c) Các giấy tờ khác theo quy định của pháp luật liên quan tới hoàn thuế; trường hợp hồ sơ hoàn thuế theo quy định về pháp luật quản lý thuế khác với quy định tại khoản này thì thực hiện theo quy định của pháp luật về quản lý thuế;</w:t>
      </w:r>
    </w:p>
    <w:p w14:paraId="58FEB24D">
      <w:pPr>
        <w:keepNext w:val="0"/>
        <w:keepLines w:val="0"/>
        <w:pageBreakBefore w:val="0"/>
        <w:widowControl/>
        <w:kinsoku/>
        <w:wordWrap/>
        <w:overflowPunct/>
        <w:topLinePunct w:val="0"/>
        <w:autoSpaceDE/>
        <w:autoSpaceDN/>
        <w:bidi w:val="0"/>
        <w:adjustRightInd/>
        <w:snapToGrid/>
        <w:spacing w:before="181" w:beforeLines="50" w:line="240" w:lineRule="auto"/>
        <w:textAlignment w:val="auto"/>
        <w:rPr>
          <w:rFonts w:hint="default" w:ascii="Times New Roman" w:hAnsi="Times New Roman" w:cs="Times New Roman"/>
          <w:sz w:val="26"/>
          <w:szCs w:val="26"/>
        </w:rPr>
      </w:pPr>
      <w:r>
        <w:rPr>
          <w:rFonts w:hint="default" w:ascii="Times New Roman" w:hAnsi="Times New Roman" w:cs="Times New Roman"/>
          <w:sz w:val="26"/>
          <w:szCs w:val="26"/>
        </w:rPr>
        <w:t>d) Bản sao Giấy đề nghị ghi thu, ghi chi ngân sách nhà nước đối với hàng hóa, dịch vụ mua trong nước đối với chương trình, dự án, phi dự án hỗ trợ kỹ thuật hoặc giấy đề nghị thanh toán vốn (trường hợp tiếp nhận vốn ODA không hoàn lại bằng tiền được bố trí từ nguồn vốn đầu tư công).”;</w:t>
      </w:r>
    </w:p>
    <w:p w14:paraId="56C5D7F0">
      <w:pPr>
        <w:keepNext w:val="0"/>
        <w:keepLines w:val="0"/>
        <w:pageBreakBefore w:val="0"/>
        <w:widowControl/>
        <w:kinsoku/>
        <w:wordWrap/>
        <w:overflowPunct/>
        <w:topLinePunct w:val="0"/>
        <w:autoSpaceDE/>
        <w:autoSpaceDN/>
        <w:bidi w:val="0"/>
        <w:adjustRightInd/>
        <w:snapToGrid/>
        <w:spacing w:before="181" w:beforeLines="50" w:line="240" w:lineRule="auto"/>
        <w:textAlignment w:val="auto"/>
        <w:rPr>
          <w:rFonts w:hint="default" w:ascii="Times New Roman" w:hAnsi="Times New Roman" w:cs="Times New Roman"/>
          <w:i/>
          <w:iCs/>
          <w:sz w:val="26"/>
          <w:szCs w:val="26"/>
        </w:rPr>
      </w:pPr>
      <w:r>
        <w:rPr>
          <w:rFonts w:hint="default" w:ascii="Times New Roman" w:hAnsi="Times New Roman" w:cs="Times New Roman"/>
          <w:i/>
          <w:iCs/>
          <w:sz w:val="26"/>
          <w:szCs w:val="26"/>
        </w:rPr>
        <w:t>(khoản 2 Điều 90 Nghị định 242/2025/NĐ-CP được sửa đổi, bổ sung tại điểm b, điểm c khoản 41 Điều 1 Nghị định số 119/2026/NĐ-CP)</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937BF9"/>
    <w:rsid w:val="414F2C35"/>
    <w:rsid w:val="42937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429</TotalTime>
  <ScaleCrop>false</ScaleCrop>
  <LinksUpToDate>false</LinksUpToDate>
  <CharactersWithSpaces>0</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2026-07-31T01:23:00Z</dcterms:created>
  <dc:creator>Diễm Nguyễn</dc:creator>
  <cp:lastModifiedBy>Diễm Nguyễn</cp:lastModifiedBy>
  <dcterms:modified xsi:type="dcterms:W3CDTF">2026-07-31T08:33:27Z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E8F9E1FF06754F37A9750901EFCB4D82_13</vt:lpwstr>
  </property>
  <property fmtid="{D5CDD505-2E9C-101B-9397-08002B2CF9AE}" pid="4" name="KSOTemplateDocerSaveRecord">
    <vt:lpwstr>eyJoZGlkIjoiYzAzZTAxOTYxNmNkNTkyMzEzOTE4NWY0NGY1YjNmNjgiLCJ1c2VySWQiOiIxMzc0Mzk1NzY5MTQxIn0=</vt:lpwstr>
  </property>
</Properties>
</file>