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38F3" w:rsidRPr="00374374" w:rsidRDefault="004D38F3" w:rsidP="006C6D11">
      <w:pPr>
        <w:adjustRightInd w:val="0"/>
        <w:snapToGrid w:val="0"/>
        <w:jc w:val="center"/>
        <w:rPr>
          <w:rFonts w:eastAsia="Times New Roman" w:cs="Arial"/>
          <w:b/>
          <w:szCs w:val="20"/>
          <w:lang w:val="vi-VN"/>
        </w:rPr>
      </w:pPr>
      <w:r w:rsidRPr="00374374">
        <w:rPr>
          <w:rFonts w:eastAsia="Times New Roman" w:cs="Arial"/>
          <w:b/>
          <w:szCs w:val="20"/>
          <w:lang w:val="vi-VN"/>
        </w:rPr>
        <w:t>Mẫu số 6.4: Công bố thông tin về kết quả mua lại trái phiếu trước hạn</w:t>
      </w:r>
    </w:p>
    <w:tbl>
      <w:tblPr>
        <w:tblW w:w="5000" w:type="pct"/>
        <w:tblCellMar>
          <w:left w:w="0" w:type="dxa"/>
          <w:right w:w="0" w:type="dxa"/>
        </w:tblCellMar>
        <w:tblLook w:val="04A0" w:firstRow="1" w:lastRow="0" w:firstColumn="1" w:lastColumn="0" w:noHBand="0" w:noVBand="1"/>
      </w:tblPr>
      <w:tblGrid>
        <w:gridCol w:w="3240"/>
        <w:gridCol w:w="5786"/>
      </w:tblGrid>
      <w:tr w:rsidR="004D38F3" w:rsidRPr="00374374" w:rsidTr="009D6DBA">
        <w:trPr>
          <w:trHeight w:val="1150"/>
        </w:trPr>
        <w:tc>
          <w:tcPr>
            <w:tcW w:w="1795" w:type="pct"/>
            <w:tcBorders>
              <w:top w:val="nil"/>
              <w:left w:val="nil"/>
              <w:right w:val="nil"/>
            </w:tcBorders>
            <w:tcMar>
              <w:top w:w="0" w:type="dxa"/>
              <w:left w:w="108" w:type="dxa"/>
              <w:bottom w:w="0" w:type="dxa"/>
              <w:right w:w="108" w:type="dxa"/>
            </w:tcMar>
          </w:tcPr>
          <w:p w:rsidR="004D38F3" w:rsidRPr="00374374" w:rsidRDefault="004D38F3" w:rsidP="009D6DBA">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rsidR="004D38F3" w:rsidRPr="00374374" w:rsidRDefault="004D38F3" w:rsidP="009D6DBA">
            <w:pPr>
              <w:adjustRightInd w:val="0"/>
              <w:snapToGrid w:val="0"/>
              <w:spacing w:after="0"/>
              <w:jc w:val="center"/>
              <w:rPr>
                <w:rFonts w:eastAsia="Times New Roman" w:cs="Arial"/>
                <w:szCs w:val="20"/>
              </w:rPr>
            </w:pPr>
            <w:r w:rsidRPr="00374374">
              <w:rPr>
                <w:rFonts w:eastAsia="Times New Roman" w:cs="Arial"/>
                <w:szCs w:val="20"/>
                <w:lang w:val="vi-VN"/>
              </w:rPr>
              <w:t>Số: ......</w:t>
            </w:r>
          </w:p>
          <w:p w:rsidR="004D38F3" w:rsidRPr="00374374" w:rsidRDefault="004D38F3" w:rsidP="009D6DBA">
            <w:pPr>
              <w:tabs>
                <w:tab w:val="center" w:pos="4680"/>
                <w:tab w:val="right" w:pos="9360"/>
              </w:tabs>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kết quả mua lại trái phiếu trước hạ</w:t>
            </w:r>
            <w:r w:rsidRPr="00374374">
              <w:rPr>
                <w:rFonts w:eastAsia="Times New Roman" w:cs="Arial"/>
                <w:szCs w:val="20"/>
              </w:rPr>
              <w:t>n</w:t>
            </w:r>
          </w:p>
        </w:tc>
        <w:tc>
          <w:tcPr>
            <w:tcW w:w="3205" w:type="pct"/>
            <w:tcBorders>
              <w:top w:val="nil"/>
              <w:left w:val="nil"/>
              <w:right w:val="nil"/>
            </w:tcBorders>
            <w:tcMar>
              <w:top w:w="0" w:type="dxa"/>
              <w:left w:w="108" w:type="dxa"/>
              <w:bottom w:w="0" w:type="dxa"/>
              <w:right w:w="108" w:type="dxa"/>
            </w:tcMar>
          </w:tcPr>
          <w:p w:rsidR="004D38F3" w:rsidRPr="00374374" w:rsidRDefault="004D38F3" w:rsidP="009D6DBA">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4D38F3" w:rsidRPr="00374374" w:rsidRDefault="004D38F3" w:rsidP="009D6DBA">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4D38F3" w:rsidRPr="00374374" w:rsidRDefault="004D38F3" w:rsidP="009D6DBA">
            <w:pPr>
              <w:adjustRightInd w:val="0"/>
              <w:snapToGrid w:val="0"/>
              <w:spacing w:after="0"/>
              <w:jc w:val="center"/>
              <w:rPr>
                <w:rFonts w:eastAsia="Times New Roman" w:cs="Arial"/>
                <w:szCs w:val="20"/>
                <w:vertAlign w:val="superscript"/>
              </w:rPr>
            </w:pPr>
            <w:r w:rsidRPr="00374374">
              <w:rPr>
                <w:rFonts w:eastAsia="Times New Roman" w:cs="Arial"/>
                <w:i/>
                <w:iCs/>
                <w:szCs w:val="20"/>
              </w:rPr>
              <w:t>....</w:t>
            </w:r>
            <w:r w:rsidRPr="00374374">
              <w:rPr>
                <w:rFonts w:eastAsia="Times New Roman" w:cs="Arial"/>
                <w:i/>
                <w:iCs/>
                <w:szCs w:val="20"/>
                <w:lang w:val="vi-VN"/>
              </w:rPr>
              <w:t xml:space="preserve">, ngày  </w:t>
            </w:r>
            <w:r w:rsidRPr="00374374">
              <w:rPr>
                <w:rFonts w:eastAsia="Times New Roman" w:cs="Arial"/>
                <w:i/>
                <w:iCs/>
                <w:szCs w:val="20"/>
              </w:rPr>
              <w:t xml:space="preserve"> </w:t>
            </w:r>
            <w:r w:rsidRPr="00374374">
              <w:rPr>
                <w:rFonts w:eastAsia="Times New Roman" w:cs="Arial"/>
                <w:i/>
                <w:iCs/>
                <w:szCs w:val="20"/>
                <w:lang w:val="vi-VN"/>
              </w:rPr>
              <w:t xml:space="preserve">tháng </w:t>
            </w:r>
            <w:r w:rsidRPr="00374374">
              <w:rPr>
                <w:rFonts w:eastAsia="Times New Roman" w:cs="Arial"/>
                <w:i/>
                <w:iCs/>
                <w:szCs w:val="20"/>
              </w:rPr>
              <w:t xml:space="preserve"> </w:t>
            </w:r>
            <w:r w:rsidRPr="00374374">
              <w:rPr>
                <w:rFonts w:eastAsia="Times New Roman" w:cs="Arial"/>
                <w:i/>
                <w:iCs/>
                <w:szCs w:val="20"/>
                <w:lang w:val="vi-VN"/>
              </w:rPr>
              <w:t xml:space="preserve"> năm </w:t>
            </w:r>
            <w:r w:rsidRPr="00374374">
              <w:rPr>
                <w:rFonts w:eastAsia="Times New Roman" w:cs="Arial"/>
                <w:i/>
                <w:iCs/>
                <w:szCs w:val="20"/>
              </w:rPr>
              <w:t>20...</w:t>
            </w:r>
          </w:p>
        </w:tc>
      </w:tr>
    </w:tbl>
    <w:p w:rsidR="004D38F3" w:rsidRPr="00374374" w:rsidRDefault="004D38F3" w:rsidP="006C6D11">
      <w:pPr>
        <w:adjustRightInd w:val="0"/>
        <w:snapToGrid w:val="0"/>
        <w:spacing w:after="0"/>
        <w:jc w:val="center"/>
        <w:rPr>
          <w:rFonts w:eastAsia="Times New Roman" w:cs="Arial"/>
          <w:szCs w:val="20"/>
        </w:rPr>
      </w:pPr>
    </w:p>
    <w:p w:rsidR="004D38F3" w:rsidRPr="00374374" w:rsidRDefault="004D38F3"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4D38F3" w:rsidRPr="00374374" w:rsidRDefault="004D38F3" w:rsidP="006C6D11">
      <w:pPr>
        <w:adjustRightInd w:val="0"/>
        <w:snapToGrid w:val="0"/>
        <w:spacing w:after="0"/>
        <w:jc w:val="center"/>
        <w:rPr>
          <w:rFonts w:eastAsia="Times New Roman" w:cs="Arial"/>
          <w:szCs w:val="20"/>
        </w:rPr>
      </w:pP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công bố thông tin về kết quả mua lại trái phiếu trước hạn như sau:</w:t>
      </w:r>
    </w:p>
    <w:p w:rsidR="004D38F3" w:rsidRPr="00374374" w:rsidRDefault="004D38F3"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Tên doanh nghiệp:</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Loại hình doanh nghiệp:</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rsidR="004D38F3" w:rsidRPr="00374374" w:rsidRDefault="004D38F3" w:rsidP="00784967">
      <w:pPr>
        <w:adjustRightInd w:val="0"/>
        <w:snapToGrid w:val="0"/>
        <w:jc w:val="both"/>
        <w:rPr>
          <w:rFonts w:eastAsia="Times New Roman" w:cs="Arial"/>
          <w:b/>
          <w:bCs/>
          <w:szCs w:val="20"/>
        </w:rPr>
      </w:pPr>
      <w:r w:rsidRPr="00374374">
        <w:rPr>
          <w:rFonts w:eastAsia="Times New Roman" w:cs="Arial"/>
          <w:b/>
          <w:bCs/>
          <w:szCs w:val="20"/>
        </w:rPr>
        <w:t>2. Kết quả mua lại trái phiếu trước hạn</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Đồng tiền phát hành (trường hợp phát hành trái phiếu ra thị trường quốc tế):</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Thị trường phát hành trái phiếu (trong trường hợp trái phiếu phát hành ra thị trường quốc tế):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50"/>
        <w:gridCol w:w="955"/>
        <w:gridCol w:w="572"/>
        <w:gridCol w:w="706"/>
        <w:gridCol w:w="706"/>
        <w:gridCol w:w="694"/>
        <w:gridCol w:w="694"/>
        <w:gridCol w:w="783"/>
        <w:gridCol w:w="750"/>
        <w:gridCol w:w="758"/>
        <w:gridCol w:w="1054"/>
      </w:tblGrid>
      <w:tr w:rsidR="004D38F3" w:rsidRPr="00374374" w:rsidTr="006C6D11">
        <w:trPr>
          <w:trHeight w:val="20"/>
        </w:trPr>
        <w:tc>
          <w:tcPr>
            <w:tcW w:w="199"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STT</w:t>
            </w:r>
          </w:p>
        </w:tc>
        <w:tc>
          <w:tcPr>
            <w:tcW w:w="436"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Mã trái phiếu</w:t>
            </w:r>
          </w:p>
        </w:tc>
        <w:tc>
          <w:tcPr>
            <w:tcW w:w="596"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Mệnh giá (nêu rõ đồng tiền phát hành)</w:t>
            </w:r>
          </w:p>
        </w:tc>
        <w:tc>
          <w:tcPr>
            <w:tcW w:w="283"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Kỳ hạn</w:t>
            </w:r>
          </w:p>
        </w:tc>
        <w:tc>
          <w:tcPr>
            <w:tcW w:w="361"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Ngày phát hành</w:t>
            </w:r>
          </w:p>
        </w:tc>
        <w:tc>
          <w:tcPr>
            <w:tcW w:w="387"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Ngày đáo hạn</w:t>
            </w:r>
          </w:p>
        </w:tc>
        <w:tc>
          <w:tcPr>
            <w:tcW w:w="381"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Giá trị phát hành</w:t>
            </w:r>
          </w:p>
          <w:p w:rsidR="004D38F3" w:rsidRPr="00374374" w:rsidRDefault="004D38F3" w:rsidP="006C6D11">
            <w:pPr>
              <w:adjustRightInd w:val="0"/>
              <w:snapToGrid w:val="0"/>
              <w:jc w:val="center"/>
              <w:rPr>
                <w:rFonts w:eastAsia="Times New Roman" w:cs="Arial"/>
                <w:b/>
                <w:szCs w:val="20"/>
              </w:rPr>
            </w:pPr>
          </w:p>
        </w:tc>
        <w:tc>
          <w:tcPr>
            <w:tcW w:w="381"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Giá trị đang lưu hành</w:t>
            </w:r>
          </w:p>
          <w:p w:rsidR="004D38F3" w:rsidRPr="00374374" w:rsidRDefault="004D38F3" w:rsidP="006C6D11">
            <w:pPr>
              <w:adjustRightInd w:val="0"/>
              <w:snapToGrid w:val="0"/>
              <w:jc w:val="center"/>
              <w:rPr>
                <w:rFonts w:eastAsia="Times New Roman" w:cs="Arial"/>
                <w:b/>
                <w:szCs w:val="20"/>
              </w:rPr>
            </w:pPr>
          </w:p>
        </w:tc>
        <w:tc>
          <w:tcPr>
            <w:tcW w:w="477"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Giá mua lại thực tế/ 01 trái phiếu</w:t>
            </w:r>
          </w:p>
        </w:tc>
        <w:tc>
          <w:tcPr>
            <w:tcW w:w="409"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Giá trị mua lại</w:t>
            </w:r>
          </w:p>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(theo mệnh giá)</w:t>
            </w:r>
          </w:p>
        </w:tc>
        <w:tc>
          <w:tcPr>
            <w:tcW w:w="463"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Ngày hoàn tất việc mua lại</w:t>
            </w:r>
          </w:p>
        </w:tc>
        <w:tc>
          <w:tcPr>
            <w:tcW w:w="627" w:type="pct"/>
            <w:vAlign w:val="center"/>
          </w:tcPr>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Giá trị còn lại sau khi mua lại</w:t>
            </w:r>
          </w:p>
          <w:p w:rsidR="004D38F3" w:rsidRPr="00374374" w:rsidRDefault="004D38F3" w:rsidP="006C6D11">
            <w:pPr>
              <w:adjustRightInd w:val="0"/>
              <w:snapToGrid w:val="0"/>
              <w:jc w:val="center"/>
              <w:rPr>
                <w:rFonts w:eastAsia="Times New Roman" w:cs="Arial"/>
                <w:b/>
                <w:szCs w:val="20"/>
              </w:rPr>
            </w:pPr>
            <w:r w:rsidRPr="00374374">
              <w:rPr>
                <w:rFonts w:eastAsia="Times New Roman" w:cs="Arial"/>
                <w:b/>
                <w:szCs w:val="20"/>
              </w:rPr>
              <w:t>(theo mệnh giá)</w:t>
            </w:r>
          </w:p>
        </w:tc>
      </w:tr>
      <w:tr w:rsidR="004D38F3" w:rsidRPr="00374374" w:rsidTr="006C6D11">
        <w:trPr>
          <w:trHeight w:val="20"/>
        </w:trPr>
        <w:tc>
          <w:tcPr>
            <w:tcW w:w="199" w:type="pct"/>
            <w:vAlign w:val="center"/>
          </w:tcPr>
          <w:p w:rsidR="004D38F3" w:rsidRPr="00374374" w:rsidRDefault="004D38F3" w:rsidP="006C6D11">
            <w:pPr>
              <w:adjustRightInd w:val="0"/>
              <w:snapToGrid w:val="0"/>
              <w:jc w:val="center"/>
              <w:rPr>
                <w:rFonts w:eastAsia="Times New Roman" w:cs="Arial"/>
                <w:szCs w:val="20"/>
              </w:rPr>
            </w:pPr>
          </w:p>
        </w:tc>
        <w:tc>
          <w:tcPr>
            <w:tcW w:w="436" w:type="pct"/>
            <w:vAlign w:val="center"/>
          </w:tcPr>
          <w:p w:rsidR="004D38F3" w:rsidRPr="00374374" w:rsidRDefault="004D38F3" w:rsidP="006C6D11">
            <w:pPr>
              <w:adjustRightInd w:val="0"/>
              <w:snapToGrid w:val="0"/>
              <w:jc w:val="center"/>
              <w:rPr>
                <w:rFonts w:eastAsia="Times New Roman" w:cs="Arial"/>
                <w:szCs w:val="20"/>
              </w:rPr>
            </w:pPr>
          </w:p>
        </w:tc>
        <w:tc>
          <w:tcPr>
            <w:tcW w:w="596" w:type="pct"/>
            <w:vAlign w:val="center"/>
          </w:tcPr>
          <w:p w:rsidR="004D38F3" w:rsidRPr="00374374" w:rsidRDefault="004D38F3" w:rsidP="006C6D11">
            <w:pPr>
              <w:adjustRightInd w:val="0"/>
              <w:snapToGrid w:val="0"/>
              <w:jc w:val="center"/>
              <w:rPr>
                <w:rFonts w:eastAsia="Times New Roman" w:cs="Arial"/>
                <w:szCs w:val="20"/>
              </w:rPr>
            </w:pPr>
          </w:p>
        </w:tc>
        <w:tc>
          <w:tcPr>
            <w:tcW w:w="283" w:type="pct"/>
            <w:vAlign w:val="center"/>
          </w:tcPr>
          <w:p w:rsidR="004D38F3" w:rsidRPr="00374374" w:rsidRDefault="004D38F3" w:rsidP="006C6D11">
            <w:pPr>
              <w:adjustRightInd w:val="0"/>
              <w:snapToGrid w:val="0"/>
              <w:jc w:val="center"/>
              <w:rPr>
                <w:rFonts w:eastAsia="Times New Roman" w:cs="Arial"/>
                <w:szCs w:val="20"/>
              </w:rPr>
            </w:pPr>
          </w:p>
        </w:tc>
        <w:tc>
          <w:tcPr>
            <w:tcW w:w="361" w:type="pct"/>
            <w:vAlign w:val="center"/>
          </w:tcPr>
          <w:p w:rsidR="004D38F3" w:rsidRPr="00374374" w:rsidRDefault="004D38F3" w:rsidP="006C6D11">
            <w:pPr>
              <w:adjustRightInd w:val="0"/>
              <w:snapToGrid w:val="0"/>
              <w:jc w:val="center"/>
              <w:rPr>
                <w:rFonts w:eastAsia="Times New Roman" w:cs="Arial"/>
                <w:szCs w:val="20"/>
              </w:rPr>
            </w:pPr>
          </w:p>
        </w:tc>
        <w:tc>
          <w:tcPr>
            <w:tcW w:w="387" w:type="pct"/>
            <w:vAlign w:val="center"/>
          </w:tcPr>
          <w:p w:rsidR="004D38F3" w:rsidRPr="00374374" w:rsidRDefault="004D38F3" w:rsidP="006C6D11">
            <w:pPr>
              <w:adjustRightInd w:val="0"/>
              <w:snapToGrid w:val="0"/>
              <w:jc w:val="center"/>
              <w:rPr>
                <w:rFonts w:eastAsia="Times New Roman" w:cs="Arial"/>
                <w:szCs w:val="20"/>
              </w:rPr>
            </w:pPr>
          </w:p>
        </w:tc>
        <w:tc>
          <w:tcPr>
            <w:tcW w:w="381" w:type="pct"/>
            <w:vAlign w:val="center"/>
          </w:tcPr>
          <w:p w:rsidR="004D38F3" w:rsidRPr="00374374" w:rsidRDefault="004D38F3" w:rsidP="006C6D11">
            <w:pPr>
              <w:adjustRightInd w:val="0"/>
              <w:snapToGrid w:val="0"/>
              <w:jc w:val="center"/>
              <w:rPr>
                <w:rFonts w:eastAsia="Times New Roman" w:cs="Arial"/>
                <w:szCs w:val="20"/>
              </w:rPr>
            </w:pPr>
          </w:p>
        </w:tc>
        <w:tc>
          <w:tcPr>
            <w:tcW w:w="381" w:type="pct"/>
            <w:vAlign w:val="center"/>
          </w:tcPr>
          <w:p w:rsidR="004D38F3" w:rsidRPr="00374374" w:rsidRDefault="004D38F3" w:rsidP="006C6D11">
            <w:pPr>
              <w:adjustRightInd w:val="0"/>
              <w:snapToGrid w:val="0"/>
              <w:jc w:val="center"/>
              <w:rPr>
                <w:rFonts w:eastAsia="Times New Roman" w:cs="Arial"/>
                <w:szCs w:val="20"/>
              </w:rPr>
            </w:pPr>
          </w:p>
        </w:tc>
        <w:tc>
          <w:tcPr>
            <w:tcW w:w="477" w:type="pct"/>
            <w:vAlign w:val="center"/>
          </w:tcPr>
          <w:p w:rsidR="004D38F3" w:rsidRPr="00374374" w:rsidRDefault="004D38F3" w:rsidP="006C6D11">
            <w:pPr>
              <w:adjustRightInd w:val="0"/>
              <w:snapToGrid w:val="0"/>
              <w:jc w:val="center"/>
              <w:rPr>
                <w:rFonts w:eastAsia="Times New Roman" w:cs="Arial"/>
                <w:szCs w:val="20"/>
              </w:rPr>
            </w:pPr>
          </w:p>
        </w:tc>
        <w:tc>
          <w:tcPr>
            <w:tcW w:w="409" w:type="pct"/>
            <w:vAlign w:val="center"/>
          </w:tcPr>
          <w:p w:rsidR="004D38F3" w:rsidRPr="00374374" w:rsidRDefault="004D38F3" w:rsidP="006C6D11">
            <w:pPr>
              <w:adjustRightInd w:val="0"/>
              <w:snapToGrid w:val="0"/>
              <w:jc w:val="center"/>
              <w:rPr>
                <w:rFonts w:eastAsia="Times New Roman" w:cs="Arial"/>
                <w:szCs w:val="20"/>
              </w:rPr>
            </w:pPr>
          </w:p>
        </w:tc>
        <w:tc>
          <w:tcPr>
            <w:tcW w:w="463" w:type="pct"/>
            <w:vAlign w:val="center"/>
          </w:tcPr>
          <w:p w:rsidR="004D38F3" w:rsidRPr="00374374" w:rsidRDefault="004D38F3" w:rsidP="006C6D11">
            <w:pPr>
              <w:adjustRightInd w:val="0"/>
              <w:snapToGrid w:val="0"/>
              <w:jc w:val="center"/>
              <w:rPr>
                <w:rFonts w:eastAsia="Times New Roman" w:cs="Arial"/>
                <w:szCs w:val="20"/>
              </w:rPr>
            </w:pPr>
          </w:p>
        </w:tc>
        <w:tc>
          <w:tcPr>
            <w:tcW w:w="627" w:type="pct"/>
            <w:vAlign w:val="center"/>
          </w:tcPr>
          <w:p w:rsidR="004D38F3" w:rsidRPr="00374374" w:rsidRDefault="004D38F3" w:rsidP="006C6D11">
            <w:pPr>
              <w:adjustRightInd w:val="0"/>
              <w:snapToGrid w:val="0"/>
              <w:jc w:val="center"/>
              <w:rPr>
                <w:rFonts w:eastAsia="Times New Roman" w:cs="Arial"/>
                <w:szCs w:val="20"/>
              </w:rPr>
            </w:pPr>
          </w:p>
        </w:tc>
      </w:tr>
      <w:tr w:rsidR="004D38F3" w:rsidRPr="00374374" w:rsidTr="006C6D11">
        <w:trPr>
          <w:trHeight w:val="20"/>
        </w:trPr>
        <w:tc>
          <w:tcPr>
            <w:tcW w:w="199" w:type="pct"/>
            <w:vAlign w:val="center"/>
          </w:tcPr>
          <w:p w:rsidR="004D38F3" w:rsidRPr="00374374" w:rsidRDefault="004D38F3" w:rsidP="006C6D11">
            <w:pPr>
              <w:adjustRightInd w:val="0"/>
              <w:snapToGrid w:val="0"/>
              <w:jc w:val="center"/>
              <w:rPr>
                <w:rFonts w:eastAsia="Times New Roman" w:cs="Arial"/>
                <w:szCs w:val="20"/>
              </w:rPr>
            </w:pPr>
          </w:p>
        </w:tc>
        <w:tc>
          <w:tcPr>
            <w:tcW w:w="436" w:type="pct"/>
            <w:vAlign w:val="center"/>
          </w:tcPr>
          <w:p w:rsidR="004D38F3" w:rsidRPr="00374374" w:rsidRDefault="004D38F3" w:rsidP="006C6D11">
            <w:pPr>
              <w:adjustRightInd w:val="0"/>
              <w:snapToGrid w:val="0"/>
              <w:jc w:val="center"/>
              <w:rPr>
                <w:rFonts w:eastAsia="Times New Roman" w:cs="Arial"/>
                <w:szCs w:val="20"/>
              </w:rPr>
            </w:pPr>
          </w:p>
        </w:tc>
        <w:tc>
          <w:tcPr>
            <w:tcW w:w="596" w:type="pct"/>
            <w:vAlign w:val="center"/>
          </w:tcPr>
          <w:p w:rsidR="004D38F3" w:rsidRPr="00374374" w:rsidRDefault="004D38F3" w:rsidP="006C6D11">
            <w:pPr>
              <w:adjustRightInd w:val="0"/>
              <w:snapToGrid w:val="0"/>
              <w:jc w:val="center"/>
              <w:rPr>
                <w:rFonts w:eastAsia="Times New Roman" w:cs="Arial"/>
                <w:szCs w:val="20"/>
              </w:rPr>
            </w:pPr>
          </w:p>
        </w:tc>
        <w:tc>
          <w:tcPr>
            <w:tcW w:w="283" w:type="pct"/>
            <w:vAlign w:val="center"/>
          </w:tcPr>
          <w:p w:rsidR="004D38F3" w:rsidRPr="00374374" w:rsidRDefault="004D38F3" w:rsidP="006C6D11">
            <w:pPr>
              <w:adjustRightInd w:val="0"/>
              <w:snapToGrid w:val="0"/>
              <w:jc w:val="center"/>
              <w:rPr>
                <w:rFonts w:eastAsia="Times New Roman" w:cs="Arial"/>
                <w:szCs w:val="20"/>
              </w:rPr>
            </w:pPr>
          </w:p>
        </w:tc>
        <w:tc>
          <w:tcPr>
            <w:tcW w:w="361" w:type="pct"/>
            <w:vAlign w:val="center"/>
          </w:tcPr>
          <w:p w:rsidR="004D38F3" w:rsidRPr="00374374" w:rsidRDefault="004D38F3" w:rsidP="006C6D11">
            <w:pPr>
              <w:adjustRightInd w:val="0"/>
              <w:snapToGrid w:val="0"/>
              <w:jc w:val="center"/>
              <w:rPr>
                <w:rFonts w:eastAsia="Times New Roman" w:cs="Arial"/>
                <w:szCs w:val="20"/>
              </w:rPr>
            </w:pPr>
          </w:p>
        </w:tc>
        <w:tc>
          <w:tcPr>
            <w:tcW w:w="387" w:type="pct"/>
            <w:vAlign w:val="center"/>
          </w:tcPr>
          <w:p w:rsidR="004D38F3" w:rsidRPr="00374374" w:rsidRDefault="004D38F3" w:rsidP="006C6D11">
            <w:pPr>
              <w:adjustRightInd w:val="0"/>
              <w:snapToGrid w:val="0"/>
              <w:jc w:val="center"/>
              <w:rPr>
                <w:rFonts w:eastAsia="Times New Roman" w:cs="Arial"/>
                <w:szCs w:val="20"/>
              </w:rPr>
            </w:pPr>
          </w:p>
        </w:tc>
        <w:tc>
          <w:tcPr>
            <w:tcW w:w="381" w:type="pct"/>
            <w:vAlign w:val="center"/>
          </w:tcPr>
          <w:p w:rsidR="004D38F3" w:rsidRPr="00374374" w:rsidRDefault="004D38F3" w:rsidP="006C6D11">
            <w:pPr>
              <w:adjustRightInd w:val="0"/>
              <w:snapToGrid w:val="0"/>
              <w:jc w:val="center"/>
              <w:rPr>
                <w:rFonts w:eastAsia="Times New Roman" w:cs="Arial"/>
                <w:szCs w:val="20"/>
              </w:rPr>
            </w:pPr>
          </w:p>
        </w:tc>
        <w:tc>
          <w:tcPr>
            <w:tcW w:w="381" w:type="pct"/>
            <w:vAlign w:val="center"/>
          </w:tcPr>
          <w:p w:rsidR="004D38F3" w:rsidRPr="00374374" w:rsidRDefault="004D38F3" w:rsidP="006C6D11">
            <w:pPr>
              <w:adjustRightInd w:val="0"/>
              <w:snapToGrid w:val="0"/>
              <w:jc w:val="center"/>
              <w:rPr>
                <w:rFonts w:eastAsia="Times New Roman" w:cs="Arial"/>
                <w:szCs w:val="20"/>
              </w:rPr>
            </w:pPr>
          </w:p>
        </w:tc>
        <w:tc>
          <w:tcPr>
            <w:tcW w:w="477" w:type="pct"/>
            <w:vAlign w:val="center"/>
          </w:tcPr>
          <w:p w:rsidR="004D38F3" w:rsidRPr="00374374" w:rsidRDefault="004D38F3" w:rsidP="006C6D11">
            <w:pPr>
              <w:adjustRightInd w:val="0"/>
              <w:snapToGrid w:val="0"/>
              <w:jc w:val="center"/>
              <w:rPr>
                <w:rFonts w:eastAsia="Times New Roman" w:cs="Arial"/>
                <w:szCs w:val="20"/>
              </w:rPr>
            </w:pPr>
          </w:p>
        </w:tc>
        <w:tc>
          <w:tcPr>
            <w:tcW w:w="409" w:type="pct"/>
            <w:vAlign w:val="center"/>
          </w:tcPr>
          <w:p w:rsidR="004D38F3" w:rsidRPr="00374374" w:rsidRDefault="004D38F3" w:rsidP="006C6D11">
            <w:pPr>
              <w:adjustRightInd w:val="0"/>
              <w:snapToGrid w:val="0"/>
              <w:jc w:val="center"/>
              <w:rPr>
                <w:rFonts w:eastAsia="Times New Roman" w:cs="Arial"/>
                <w:szCs w:val="20"/>
              </w:rPr>
            </w:pPr>
          </w:p>
        </w:tc>
        <w:tc>
          <w:tcPr>
            <w:tcW w:w="463" w:type="pct"/>
            <w:vAlign w:val="center"/>
          </w:tcPr>
          <w:p w:rsidR="004D38F3" w:rsidRPr="00374374" w:rsidRDefault="004D38F3" w:rsidP="006C6D11">
            <w:pPr>
              <w:adjustRightInd w:val="0"/>
              <w:snapToGrid w:val="0"/>
              <w:jc w:val="center"/>
              <w:rPr>
                <w:rFonts w:eastAsia="Times New Roman" w:cs="Arial"/>
                <w:szCs w:val="20"/>
              </w:rPr>
            </w:pPr>
          </w:p>
        </w:tc>
        <w:tc>
          <w:tcPr>
            <w:tcW w:w="627" w:type="pct"/>
            <w:vAlign w:val="center"/>
          </w:tcPr>
          <w:p w:rsidR="004D38F3" w:rsidRPr="00374374" w:rsidRDefault="004D38F3" w:rsidP="006C6D11">
            <w:pPr>
              <w:adjustRightInd w:val="0"/>
              <w:snapToGrid w:val="0"/>
              <w:jc w:val="center"/>
              <w:rPr>
                <w:rFonts w:eastAsia="Times New Roman" w:cs="Arial"/>
                <w:szCs w:val="20"/>
              </w:rPr>
            </w:pPr>
          </w:p>
        </w:tc>
      </w:tr>
    </w:tbl>
    <w:p w:rsidR="004D38F3" w:rsidRPr="00374374" w:rsidRDefault="004D38F3" w:rsidP="00784967">
      <w:pPr>
        <w:adjustRightInd w:val="0"/>
        <w:snapToGrid w:val="0"/>
        <w:jc w:val="both"/>
        <w:rPr>
          <w:rFonts w:eastAsia="Times New Roman" w:cs="Arial"/>
          <w:szCs w:val="20"/>
        </w:rPr>
      </w:pPr>
      <w:r w:rsidRPr="00374374">
        <w:rPr>
          <w:rFonts w:eastAsia="Times New Roman" w:cs="Arial"/>
          <w:b/>
          <w:bCs/>
          <w:szCs w:val="20"/>
        </w:rPr>
        <w:t>3. Việc hủy bỏ đăng ký giao dịch/điều chỉnh số lượng trái phiếu đăng ký giao dịch tại Sở Giao dịch Chứng khoán Hà Nội thực hiện theo Quy chế giao dịch trái phiếu doanh nghiệp riêng lẻ</w:t>
      </w:r>
      <w:r w:rsidRPr="00374374">
        <w:rPr>
          <w:rFonts w:eastAsia="Times New Roman" w:cs="Arial"/>
          <w:szCs w:val="20"/>
        </w:rPr>
        <w:t xml:space="preserve"> </w:t>
      </w:r>
      <w:r w:rsidRPr="00374374">
        <w:rPr>
          <w:rFonts w:eastAsia="Times New Roman" w:cs="Arial"/>
          <w:i/>
          <w:szCs w:val="20"/>
        </w:rPr>
        <w:t>(áp dụng đối với trái phiếu đang đăng ký giao dịch trên Hệ thống giao dịch trái phiếu doanh nghiệp riêng lẻ</w:t>
      </w:r>
      <w:r w:rsidRPr="00374374">
        <w:rPr>
          <w:rFonts w:eastAsia="Times New Roman" w:cs="Arial"/>
          <w:szCs w:val="20"/>
        </w:rPr>
        <w:t>).</w:t>
      </w:r>
    </w:p>
    <w:p w:rsidR="004D38F3" w:rsidRPr="00374374" w:rsidRDefault="004D38F3" w:rsidP="00784967">
      <w:pPr>
        <w:adjustRightInd w:val="0"/>
        <w:snapToGrid w:val="0"/>
        <w:jc w:val="both"/>
        <w:rPr>
          <w:rFonts w:eastAsia="Times New Roman" w:cs="Arial"/>
          <w:szCs w:val="20"/>
        </w:rPr>
      </w:pPr>
      <w:r w:rsidRPr="00374374">
        <w:rPr>
          <w:rFonts w:eastAsia="Times New Roman" w:cs="Arial"/>
          <w:szCs w:val="20"/>
        </w:rPr>
        <w:t>Chúng tôi cam kết các thông tin đã công bố nêu trên là đầy đủ, chính xác, trung thực; chịu trách nhiệm trước pháp luật, trước nhà đầu tư về nội dung thông tin công bố và các tranh chấp, khiếu nại, khiếu kiện (nếu có) liên quan đến việc thanh toán mua lại trái phiếu giữa Công ty và nhà đầu tư./.</w:t>
      </w:r>
    </w:p>
    <w:p w:rsidR="004D38F3" w:rsidRPr="00374374" w:rsidRDefault="004D38F3"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4D38F3" w:rsidRPr="00374374" w:rsidTr="00784967">
        <w:tc>
          <w:tcPr>
            <w:tcW w:w="2155" w:type="pct"/>
          </w:tcPr>
          <w:p w:rsidR="004D38F3" w:rsidRPr="00374374" w:rsidRDefault="004D38F3"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4D38F3" w:rsidRPr="00374374" w:rsidRDefault="004D38F3"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4D38F3" w:rsidRPr="00374374" w:rsidRDefault="004D38F3"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4D38F3" w:rsidRPr="00374374" w:rsidRDefault="004D38F3" w:rsidP="006C6D11">
            <w:pPr>
              <w:widowControl w:val="0"/>
              <w:adjustRightInd w:val="0"/>
              <w:snapToGrid w:val="0"/>
              <w:spacing w:after="0"/>
              <w:jc w:val="center"/>
              <w:rPr>
                <w:rFonts w:eastAsia="Times New Roman" w:cs="Arial"/>
                <w:b/>
                <w:szCs w:val="20"/>
              </w:rPr>
            </w:pPr>
            <w:r w:rsidRPr="00374374">
              <w:rPr>
                <w:rFonts w:eastAsia="Times New Roman" w:cs="Arial"/>
                <w:i/>
                <w:szCs w:val="20"/>
              </w:rPr>
              <w:t>(Ký, ghi rõ họ tên, đóng dấu)</w:t>
            </w:r>
          </w:p>
        </w:tc>
      </w:tr>
    </w:tbl>
    <w:p w:rsidR="004D38F3" w:rsidRPr="00374374" w:rsidRDefault="004D38F3" w:rsidP="00784967">
      <w:pPr>
        <w:adjustRightInd w:val="0"/>
        <w:snapToGrid w:val="0"/>
        <w:jc w:val="both"/>
        <w:rPr>
          <w:rFonts w:eastAsia="Times New Roman" w:cs="Arial"/>
          <w:i/>
          <w:szCs w:val="20"/>
          <w:lang w:val="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F3"/>
    <w:rsid w:val="00225B67"/>
    <w:rsid w:val="003E1C24"/>
    <w:rsid w:val="004D38F3"/>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81CC0-E168-4C54-A62D-ACF07351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8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38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38F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38F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D38F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D38F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38F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38F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38F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8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38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38F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38F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D38F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D38F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D38F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D38F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D38F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D38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8F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8F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D38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38F3"/>
    <w:rPr>
      <w:i/>
      <w:iCs/>
      <w:color w:val="404040" w:themeColor="text1" w:themeTint="BF"/>
    </w:rPr>
  </w:style>
  <w:style w:type="paragraph" w:styleId="ListParagraph">
    <w:name w:val="List Paragraph"/>
    <w:basedOn w:val="Normal"/>
    <w:uiPriority w:val="34"/>
    <w:qFormat/>
    <w:rsid w:val="004D38F3"/>
    <w:pPr>
      <w:ind w:left="720"/>
      <w:contextualSpacing/>
    </w:pPr>
  </w:style>
  <w:style w:type="character" w:styleId="IntenseEmphasis">
    <w:name w:val="Intense Emphasis"/>
    <w:basedOn w:val="DefaultParagraphFont"/>
    <w:uiPriority w:val="21"/>
    <w:qFormat/>
    <w:rsid w:val="004D38F3"/>
    <w:rPr>
      <w:i/>
      <w:iCs/>
      <w:color w:val="2F5496" w:themeColor="accent1" w:themeShade="BF"/>
    </w:rPr>
  </w:style>
  <w:style w:type="paragraph" w:styleId="IntenseQuote">
    <w:name w:val="Intense Quote"/>
    <w:basedOn w:val="Normal"/>
    <w:next w:val="Normal"/>
    <w:link w:val="IntenseQuoteChar"/>
    <w:uiPriority w:val="30"/>
    <w:qFormat/>
    <w:rsid w:val="004D38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38F3"/>
    <w:rPr>
      <w:i/>
      <w:iCs/>
      <w:color w:val="2F5496" w:themeColor="accent1" w:themeShade="BF"/>
    </w:rPr>
  </w:style>
  <w:style w:type="character" w:styleId="IntenseReference">
    <w:name w:val="Intense Reference"/>
    <w:basedOn w:val="DefaultParagraphFont"/>
    <w:uiPriority w:val="32"/>
    <w:qFormat/>
    <w:rsid w:val="004D38F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