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CA0" w:rsidRDefault="000F0CA0" w:rsidP="000F0CA0">
      <w:pPr>
        <w:shd w:val="clear" w:color="auto" w:fill="FFFFFF"/>
        <w:spacing w:after="0" w:line="370" w:lineRule="atLeast"/>
        <w:jc w:val="center"/>
        <w:rPr>
          <w:rFonts w:ascii="Arial" w:eastAsia="Times New Roman" w:hAnsi="Arial" w:cs="Arial"/>
          <w:b/>
          <w:color w:val="333333"/>
          <w:sz w:val="21"/>
          <w:szCs w:val="21"/>
        </w:rPr>
      </w:pPr>
      <w:r w:rsidRPr="000F0CA0">
        <w:rPr>
          <w:rFonts w:ascii="Arial" w:eastAsia="Times New Roman" w:hAnsi="Arial" w:cs="Arial"/>
          <w:b/>
          <w:color w:val="333333"/>
          <w:sz w:val="21"/>
          <w:szCs w:val="21"/>
        </w:rPr>
        <w:t>Số lượng cần tuyển dụng và yêu cầu cụ thể về chuyên ngành đào tạo theo các vị trí việc làm</w:t>
      </w:r>
    </w:p>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bookmarkStart w:id="0" w:name="_GoBack"/>
      <w:bookmarkEnd w:id="0"/>
      <w:r w:rsidRPr="000F0CA0">
        <w:rPr>
          <w:rFonts w:ascii="Arial" w:eastAsia="Times New Roman" w:hAnsi="Arial" w:cs="Arial"/>
          <w:b/>
          <w:color w:val="333333"/>
          <w:sz w:val="21"/>
          <w:szCs w:val="21"/>
        </w:rPr>
        <w:br/>
      </w:r>
      <w:r w:rsidRPr="000F0CA0">
        <w:rPr>
          <w:rFonts w:ascii="Arial" w:eastAsia="Times New Roman" w:hAnsi="Arial" w:cs="Arial"/>
          <w:b/>
          <w:bCs/>
          <w:color w:val="333333"/>
          <w:sz w:val="21"/>
          <w:szCs w:val="21"/>
        </w:rPr>
        <w:t>2.2.2.1</w:t>
      </w:r>
      <w:r w:rsidRPr="000F0CA0">
        <w:rPr>
          <w:rFonts w:ascii="Arial" w:eastAsia="Times New Roman" w:hAnsi="Arial" w:cs="Arial"/>
          <w:color w:val="333333"/>
          <w:sz w:val="21"/>
          <w:szCs w:val="21"/>
        </w:rPr>
        <w:t>. Giáo viên Toán học</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03"/>
        <w:gridCol w:w="3008"/>
        <w:gridCol w:w="2523"/>
        <w:gridCol w:w="3010"/>
      </w:tblGrid>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TT</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12</w:t>
            </w:r>
          </w:p>
        </w:tc>
        <w:tc>
          <w:tcPr>
            <w:tcW w:w="1356"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Sư phạm Toán học; Sư phạm Toán – Lý; Sư phạm Toán – Tin hoặc các chuyên ngành đào tạo thuộc nhóm ngành đào tạo giáo viên có các học phần về Toán học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Toán học; Toán ứng dụng; Toán tin; Toán cơ hoặc các chuyên ngành có các học phần về Toán học chiếm từ 30% trở lên của tổng số khối lượng kiến thức toàn khóa và có chứng chỉ bồi dưỡng nghiệp vụ sư phạm dành cho giáo viên trung học phổ thông.</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Tân Lang</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Chiềng Khương</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3</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Mường Lầm</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4</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Mường Giôn</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5</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Bắc Yên</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6</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Tân Lập</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7</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Bình Thuận</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8</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Mộc Hạ</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B</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PTDT nội trú</w:t>
            </w:r>
          </w:p>
        </w:t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THCS&amp;THPT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PTDT nội trú THCS và</w:t>
            </w:r>
          </w:p>
        </w:t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THPT Mường La</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Trung tâm GDTX huyện</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Yên Châu</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Bắc Yên</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3</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Mường La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4</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Quỳnh Nhai</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5</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Sông Mã</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6</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Sốp Cộp</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2.2.2.2 Giáo viên Vật lý</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70"/>
        <w:gridCol w:w="2897"/>
        <w:gridCol w:w="1518"/>
        <w:gridCol w:w="3859"/>
      </w:tblGrid>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8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PTDT nội trú THCS&amp;THPT</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01</w:t>
            </w:r>
          </w:p>
        </w:tc>
        <w:tc>
          <w:tcPr>
            <w:tcW w:w="1812"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Sư phạm Vật lý; Sư phạm Vật lý – Kỹ thuật công nghiệp; Sư phạm Vật lý-Hóa học hoặc các chuyên ngành đào tạo thuộc nhóm ngành đào tạo giáo viên có các học phần về Vật lý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Vật lý; Vật lý-Kỹ thuật công nghiệp; Vật lý – Hóa học hoặc các chuyên ngành có các học phần về Vật lý chiếm từ 30% trở lên của tổng số khối lượng kiến thức toàn khóa và có chứng chỉ bồi dưỡng nghiệp vụ sư phạm dành cho giáo viên trung học phổ thông</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PTDT nội trú THCS và THPT Mường La</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B</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Các Trung tâm GDTX huyện</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Vân Hồ</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Giáo viên Hóa học</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7"/>
        <w:gridCol w:w="2468"/>
        <w:gridCol w:w="1558"/>
        <w:gridCol w:w="4221"/>
      </w:tblGrid>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56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9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56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03</w:t>
            </w:r>
          </w:p>
        </w:tc>
        <w:tc>
          <w:tcPr>
            <w:tcW w:w="1932"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Sư phạm Hóa học; Sư phạm Hóa-Sinh; Sư phạm Hóa-Địa hoặc các chuyên ngành đào tạo thuộc nhóm ngành đào tạo giáo viên có các học phần về Hóa học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Hóa học; Hóa – Sinh; Hóa – Địa hoặc các chuyên ngành có các học phần về Hóa học chiếm từ 30% trở lên của tổng số khối lượng kiến thức toàn khóa và có chứng chỉ bồi dưỡng nghiệp vụ sư phạm dành cho giáo viên trung học phổ thông</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Chuyên</w:t>
            </w:r>
          </w:p>
        </w:tc>
        <w:tc>
          <w:tcPr>
            <w:tcW w:w="56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Bình Thuận</w:t>
            </w:r>
          </w:p>
        </w:tc>
        <w:tc>
          <w:tcPr>
            <w:tcW w:w="56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3</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Mường Giôn</w:t>
            </w:r>
          </w:p>
        </w:tc>
        <w:tc>
          <w:tcPr>
            <w:tcW w:w="56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B</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Các Trung tâm GDTX huyện</w:t>
            </w:r>
          </w:p>
        </w:tc>
        <w:tc>
          <w:tcPr>
            <w:tcW w:w="56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Yên Châu</w:t>
            </w:r>
          </w:p>
        </w:tc>
        <w:tc>
          <w:tcPr>
            <w:tcW w:w="56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Giáo viên Sinh học</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05"/>
        <w:gridCol w:w="2994"/>
        <w:gridCol w:w="1753"/>
        <w:gridCol w:w="3492"/>
      </w:tblGrid>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lastRenderedPageBreak/>
              <w:t>STT</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02</w:t>
            </w:r>
          </w:p>
        </w:tc>
        <w:tc>
          <w:tcPr>
            <w:tcW w:w="1584"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Sư phạm Sinh học; Sư phạm Sinh học – Hóa học; Sư phạm Sinh học – Kỹ thuật nông nghiệp; Sư phạm Sinh – Địa hoặc các chuyên ngành đào tạo thuộc nhóm ngành đào tạo giáo viên có các học phần về Sinh học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Sinh học; Sinh học – Hóa học; Sinh học – Kỹ thuật nông nghiệp; Sinh – Địa hoặc các chuyên ngành có các học phần về Sinh học chiếm từ 30% trở lên của tổng số khối lượng kiến thức toàn khóa và có chứng chỉ bồi dưỡng nghiệp vụ sư phạm dành cho giáo viên trung học phổ thông.</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Chiềng Khương</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Chuyên</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B</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PTDT nội trú THCS&amp;THPT huyện</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PTDT nội trú THCS và THPT Quỳnh Nhai</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C</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Các Trung tâm GDTX huyện</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03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Vân Hồ</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Mường La</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3</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Sốp Cộp</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Giáo viên Ngữ văn</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3"/>
        <w:gridCol w:w="2373"/>
        <w:gridCol w:w="2125"/>
        <w:gridCol w:w="3683"/>
      </w:tblGrid>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8</w:t>
            </w:r>
          </w:p>
        </w:tc>
        <w:tc>
          <w:tcPr>
            <w:tcW w:w="1584"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 Người tốt nghiệp chuyên ngành Sư phạm Ngữ văn; Sư phạm Ngữ văn – Lịch sử; Sư phạm Ngữ văn – Giáo dục công dân; Sư phạm Ngữ văn – Địa lý; Sư phạm Văn học hoặc các chuyên ngành đào tạo thuộc nhóm ngành đào tạo giáo viên có các học phần về Ngữ</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Tân Lang</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Mường Lầm</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3</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Bắc Yên</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4</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Chuyên</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pacing w:after="0" w:line="240" w:lineRule="auto"/>
        <w:rPr>
          <w:rFonts w:ascii="Times New Roman" w:eastAsia="Times New Roman" w:hAnsi="Times New Roman" w:cs="Times New Roman"/>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8"/>
        <w:gridCol w:w="3024"/>
        <w:gridCol w:w="2035"/>
        <w:gridCol w:w="3527"/>
      </w:tblGrid>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5</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Bình Thuận</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1584"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văn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2. Người tốt nghiệp chuyên ngành Ngữ văn; Ngữ văn – Lịch sử; Ngữ văn – Giáo dục công dân; Ngữ văn – Địa lý; Văn học hoặc các chuyên ngành có các học phần về Ngữ văn chiếm từ 30% trở lên của tổng số khối lượng kiến thức toàn khóa và có chứng chỉ bồi dưỡng nghiệp vụ sư phạm dành cho giáo viên trung học phổ thông</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6</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Mộc Hạ</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B</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PTDT nội trú THCS&amp;THPT huyện</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PTDT nội trú THCS và THPT Mường La</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Trung tâm GDTX huyện</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Yên Châu</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Sốp Cộp</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Giáo viên Lịch sử</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55"/>
        <w:gridCol w:w="3136"/>
        <w:gridCol w:w="1642"/>
        <w:gridCol w:w="3411"/>
      </w:tblGrid>
      <w:tr w:rsidR="000F0CA0" w:rsidRPr="000F0CA0" w:rsidTr="000F0CA0">
        <w:trPr>
          <w:tblCellSpacing w:w="15" w:type="dxa"/>
        </w:trPr>
        <w:tc>
          <w:tcPr>
            <w:tcW w:w="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06</w:t>
            </w:r>
          </w:p>
        </w:tc>
        <w:tc>
          <w:tcPr>
            <w:tcW w:w="1476"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Sư phạm Lịch sử; Sư phạm Lịch sử – Địa lý; Sư phạm Lịch sử – Giáo dục công dân hoặc các chuyên ngành đào tạo thuộc nhóm ngành đào tạo giáo viên có các học phần về Lịch sử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xml:space="preserve">Người tốt nghiệp chuyên ngành Lịch sử; Lịch sử – Địa lý; Lịch sử – Giáo dục công dân hoặc các chuyên ngành có các học phần về Lịch sử chiếm từ 30% trở lên của tổng số khối lượng kiến thức toàn khóa và có chứng chỉ bồi dưỡng </w:t>
            </w:r>
            <w:r w:rsidRPr="000F0CA0">
              <w:rPr>
                <w:rFonts w:ascii="Arial" w:eastAsia="Times New Roman" w:hAnsi="Arial" w:cs="Arial"/>
                <w:color w:val="333333"/>
                <w:sz w:val="21"/>
                <w:szCs w:val="21"/>
              </w:rPr>
              <w:lastRenderedPageBreak/>
              <w:t>nghiệp vụ sư phạm dành cho giáo viên trung học phổ thông.</w:t>
            </w:r>
          </w:p>
        </w:tc>
      </w:tr>
      <w:tr w:rsidR="000F0CA0" w:rsidRPr="000F0CA0" w:rsidTr="000F0CA0">
        <w:trPr>
          <w:tblCellSpacing w:w="15" w:type="dxa"/>
        </w:trPr>
        <w:tc>
          <w:tcPr>
            <w:tcW w:w="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Chiềng Khương</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Mường Lầm</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3</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Chuyên</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4</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Tông Lệnh</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B</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PTDT nội trú THCS&amp;THPT huyện</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PTDT nội trú THCS và THPT Sông Mã</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PTDT nội trú THCS và THPT Mường La</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 </w:t>
      </w:r>
    </w:p>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Giáo viên Địa lý</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52"/>
        <w:gridCol w:w="2362"/>
        <w:gridCol w:w="2139"/>
        <w:gridCol w:w="3791"/>
      </w:tblGrid>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8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03</w:t>
            </w:r>
          </w:p>
        </w:tc>
        <w:tc>
          <w:tcPr>
            <w:tcW w:w="1812"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Sư phạm Địa lý; Sư phạm Địa lý – Lịch sử; Sư phạm Địa lý – Giáo dục công dân hoặc các chuyên ngành đào tạo thuộc nhóm ngành đào tạo giáo viên có các học phần về Địa lý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Địa lý; Địa lý – Lịch sử; Địa lý – Giáo dục công dân hoặc các chuyên ngành có các học phần về Địa lý chiếm từ 30% trở lên của tổng số khối lượng kiến thức toàn khóa và có chứng chỉ bồi dưỡng nghiệp vụ sư phạm dành cho giáo viên trung học phổ thông.</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Tân Lang</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Mường Giôn</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PTDT nội trú THPT tỉnh</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B</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Trung tâm GDTX huyện</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Mường La</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Bắc Yên</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Giáo viên tiếng Anh</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4"/>
        <w:gridCol w:w="2438"/>
        <w:gridCol w:w="2183"/>
        <w:gridCol w:w="3529"/>
      </w:tblGrid>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04</w:t>
            </w:r>
          </w:p>
        </w:tc>
        <w:tc>
          <w:tcPr>
            <w:tcW w:w="1476"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Sư phạm Tiếng Anh; hoặc các chuyên ngành đào tạo thuộc nhóm ngành đào tạo giáo viên có các học phần về tiếng Anh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xml:space="preserve">Người tốt nghiệp chuyên ngành Tiếng Anh, Ngôn ngữ Anh hoặc các chuyên ngành có các học phần về tiếng Anh chiếm từ 30% trở lên của tổng số khối lượng kiến thức toàn khóa và có chứng chỉ bồi dưỡng </w:t>
            </w:r>
            <w:r w:rsidRPr="000F0CA0">
              <w:rPr>
                <w:rFonts w:ascii="Arial" w:eastAsia="Times New Roman" w:hAnsi="Arial" w:cs="Arial"/>
                <w:color w:val="333333"/>
                <w:sz w:val="21"/>
                <w:szCs w:val="21"/>
              </w:rPr>
              <w:lastRenderedPageBreak/>
              <w:t>nghiệp vụ sư phạm dành cho giáo viên trung học phổ thông.</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Mường Lầm</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Chuyên</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3</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Tân Lập</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4</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Bình Thuận</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Giáo viên Công nghệ (KTCN)</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92"/>
        <w:gridCol w:w="2739"/>
        <w:gridCol w:w="2130"/>
        <w:gridCol w:w="2983"/>
      </w:tblGrid>
      <w:tr w:rsidR="000F0CA0" w:rsidRPr="000F0CA0" w:rsidTr="000F0CA0">
        <w:trPr>
          <w:tblCellSpacing w:w="15" w:type="dxa"/>
        </w:trPr>
        <w:tc>
          <w:tcPr>
            <w:tcW w:w="4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56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4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4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56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01</w:t>
            </w:r>
          </w:p>
        </w:tc>
        <w:tc>
          <w:tcPr>
            <w:tcW w:w="492"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 Người tốt nghiệp chuyên ngành Sư phạm Công nghệ;</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Sư phạm Kỹ thuật công nghiệp hoặc các chuyên ngành đào tạo thuộc nhóm ngành đào tạo giáo viên có các học phần về Công nghệ, KTCN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2. Người tốt nghiệp chuyên ngành Công nghệ; Kỹ thuật công nghiệp hoặc  các chuyên ngành có các học phần về Công nghệ; KTCN chiếm từ 30% trở lên của tổng số khối lượng kiến thức toàn khóa và có chứng chỉ bồi dưỡng nghiệp vụ sư phạm dành cho giáo viên trung học phổ thông.</w:t>
            </w:r>
          </w:p>
        </w:tc>
      </w:tr>
      <w:tr w:rsidR="000F0CA0" w:rsidRPr="000F0CA0" w:rsidTr="000F0CA0">
        <w:trPr>
          <w:tblCellSpacing w:w="15" w:type="dxa"/>
        </w:trPr>
        <w:tc>
          <w:tcPr>
            <w:tcW w:w="4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Chiềng Khương</w:t>
            </w:r>
          </w:p>
        </w:tc>
        <w:tc>
          <w:tcPr>
            <w:tcW w:w="56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Giáo viên Thể dục</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28"/>
        <w:gridCol w:w="2244"/>
        <w:gridCol w:w="2244"/>
        <w:gridCol w:w="3628"/>
      </w:tblGrid>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4</w:t>
            </w:r>
          </w:p>
        </w:tc>
        <w:tc>
          <w:tcPr>
            <w:tcW w:w="1476"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Sư phạm Giáo dục thể chất; Sư phạm Thể dục – QPAN hoặc các chuyên ngành đào tạo thuộc nhóm ngành đào tạo giáo viên có các học phần về Giáo dục thể chất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Người tốt nghiệp chuyên ngành Giáo dục thể chất; Thể dục – QPAN hoặc các chuyên ngành có các học phần về Giáo dục thể chất chiếm từ 30% trở lên của tổng số khối lượng kiến thức toàn khóa và có chứng chỉ bồi dưỡng nghiệp vụ sư phạm dành cho giáo viên trung học phổ thông.</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Mường Bú</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2</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Trường THPT Mường Giôn</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3</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Sốp Cộp</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Giáo viên Giáo dục Quốc phòng – An ninh</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4"/>
        <w:gridCol w:w="2821"/>
        <w:gridCol w:w="1801"/>
        <w:gridCol w:w="3588"/>
      </w:tblGrid>
      <w:tr w:rsidR="000F0CA0" w:rsidRPr="000F0CA0" w:rsidTr="000F0CA0">
        <w:trPr>
          <w:tblCellSpacing w:w="15" w:type="dxa"/>
        </w:trPr>
        <w:tc>
          <w:tcPr>
            <w:tcW w:w="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1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1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01</w:t>
            </w:r>
          </w:p>
        </w:tc>
        <w:tc>
          <w:tcPr>
            <w:tcW w:w="1584"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 Người tốt nghiệp chuyên ngành Sư phạm Quốc phòng</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An ninh; Sư phạm Giáo dục thể chất – Quốc phòng an ninh; Sư phạm Giáo dục thể chất và Trung cấp Quốc phòng hoặc Trung cấp an ninh hoặc các chuyên ngành đào tạo thuộc nhóm ngành đào tạo giáo viên có các học phần về QPAN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2. Người tốt nghiệp chuyên ngành Quốc phòng – An ninh; Giáo dục thể chất – Quốc phòng an ninh; Giáo dục thể chất và Trung cấp Quốc phòng hoặc Trung cấp an ninh hoặc các chuyên ngành có các học phần về QPAN chiếm từ 30% trở lên của tổng số khối lượng kiến thức toàn khóa và có chứng chỉ bồi dưỡng nghiệp vụ sư phạm dành cho giáo viên trung học phổ thông.</w:t>
            </w:r>
          </w:p>
        </w:tc>
      </w:tr>
      <w:tr w:rsidR="000F0CA0" w:rsidRPr="000F0CA0" w:rsidTr="000F0CA0">
        <w:trPr>
          <w:tblCellSpacing w:w="15" w:type="dxa"/>
        </w:trPr>
        <w:tc>
          <w:tcPr>
            <w:tcW w:w="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Co Mạ</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Giáo viên Tin học</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06"/>
        <w:gridCol w:w="2985"/>
        <w:gridCol w:w="1756"/>
        <w:gridCol w:w="3497"/>
      </w:tblGrid>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lastRenderedPageBreak/>
              <w:t>STT</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01</w:t>
            </w:r>
          </w:p>
        </w:tc>
        <w:tc>
          <w:tcPr>
            <w:tcW w:w="1584"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Sư phạm Tin học; Sư phạm Công nghệ thông tin hoặc các chuyên ngành đào tạo thuộc nhóm ngành đào tạo giáo viên có các học phần về Tin học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Tin học; Công nghệ thông tin hoặc các chuyên ngành có các học phần về Tin học chiếm từ 30% trở lên của tổng số khối lượng kiến thức toàn khóa và có chứng chỉ bồi dưỡng nghiệp vụ sư phạm dành cho giáo viên trung học phổ thông.</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Mường Lầm</w:t>
            </w:r>
          </w:p>
        </w:tc>
        <w:tc>
          <w:tcPr>
            <w:tcW w:w="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Giáo viên Giáo dục kinh tế và pháp luật (GDCD)</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3"/>
        <w:gridCol w:w="2373"/>
        <w:gridCol w:w="2125"/>
        <w:gridCol w:w="3683"/>
      </w:tblGrid>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05</w:t>
            </w:r>
          </w:p>
        </w:tc>
        <w:tc>
          <w:tcPr>
            <w:tcW w:w="1584"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Người tốt nghiệp chuyên ngành Sư phạm Giáo dục công dân; Sư phạm Giáo dục chính trị; Sư phạm Giáo dục công dân – Đoàn đội; Sư phạm Giáo dục pháp luật hoặc các chuyên ngành đào tạo thuộc nhóm ngành đào tạo giáo viên có các học phần về GDCD, GDPL chiếm từ 30% trở lên của tổng số khối lượng kiến thức toàn khóa.</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Người tốt nghiệp chuyên ngành Giáo dục công dân; Giáo dục chính trị; Giáo dục công dân – Đoàn đội, Giáo dục pháp luật; Luật kinh tế hoặc các chuyên ngành có các học phần về GDCD, Giáo dục chính trị, Giáo dục pháp luật, Luật Kinh tế chiếm từ 30% trở lên của tổng số khối lượng kiến thức toàn khóa và có chứng chỉ bồi dưỡng nghiệp vụ sư phạm dành cho giáo viên trung học phổ thông.</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Chiềng Sinh</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Mộc Hạ</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3</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Chuyên</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4</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Mường Bú</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5</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Vân Hồ</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lastRenderedPageBreak/>
              <w:t>B</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lastRenderedPageBreak/>
              <w:t>Các Trung tâm GDTX huyện</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lastRenderedPageBreak/>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lastRenderedPageBreak/>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Mường La</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Thuận Châu</w:t>
            </w:r>
          </w:p>
        </w:tc>
        <w:tc>
          <w:tcPr>
            <w:tcW w:w="9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Giáo viên Mỹ thuật</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58"/>
        <w:gridCol w:w="2571"/>
        <w:gridCol w:w="1792"/>
        <w:gridCol w:w="3723"/>
      </w:tblGrid>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 cụ thể</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01</w:t>
            </w:r>
          </w:p>
        </w:tc>
        <w:tc>
          <w:tcPr>
            <w:tcW w:w="1476"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 Người tốt nghiệp chuyên ngành Sư phạm Mỹ thuật; Sư phạm Hội họa hoặc các chuyên ngành đào tạo thuộc nhóm ngành đào tạo giáo viên có các học phần về Mỹ thuật, Hội họa chiếm từ 30% trở lên của tổng số khối lượng kiến thức toàn khóa.</w:t>
            </w: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Times New Roman" w:eastAsia="Times New Roman" w:hAnsi="Times New Roman" w:cs="Times New Roman"/>
                <w:sz w:val="20"/>
                <w:szCs w:val="20"/>
              </w:rPr>
            </w:pP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Tô Hiệu</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2. Người tốt nghiệp chuyên ngành Mỹ thuật; Hội họa hoặc các chuyên ngành có các học phần về Mỹ thuật, Hội họa chiếm từ 30% trở lên của tổng số khối lượng kiến thức toàn khóa và có chứng chỉ bồi dưỡng nghiệp vụ sư phạm dành cho giáo viên trung học phổ thông.</w:t>
            </w: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2.2. Vị trí việc làm theo chức danh nghề nghiệp chuyên môn dùng chung</w:t>
      </w:r>
      <w:r w:rsidRPr="000F0CA0">
        <w:rPr>
          <w:rFonts w:ascii="Arial" w:eastAsia="Times New Roman" w:hAnsi="Arial" w:cs="Arial"/>
          <w:color w:val="333333"/>
          <w:sz w:val="21"/>
          <w:szCs w:val="21"/>
        </w:rPr>
        <w:br/>
      </w:r>
      <w:r w:rsidRPr="000F0CA0">
        <w:rPr>
          <w:rFonts w:ascii="Arial" w:eastAsia="Times New Roman" w:hAnsi="Arial" w:cs="Arial"/>
          <w:b/>
          <w:bCs/>
          <w:color w:val="333333"/>
          <w:sz w:val="21"/>
          <w:szCs w:val="21"/>
        </w:rPr>
        <w:t>2.2.1.</w:t>
      </w:r>
      <w:r w:rsidRPr="000F0CA0">
        <w:rPr>
          <w:rFonts w:ascii="Arial" w:eastAsia="Times New Roman" w:hAnsi="Arial" w:cs="Arial"/>
          <w:color w:val="333333"/>
          <w:sz w:val="21"/>
          <w:szCs w:val="21"/>
        </w:rPr>
        <w:t> Kế toán viên (mã ngạch 06.031)</w:t>
      </w:r>
      <w:r w:rsidRPr="000F0CA0">
        <w:rPr>
          <w:rFonts w:ascii="Arial" w:eastAsia="Times New Roman" w:hAnsi="Arial" w:cs="Arial"/>
          <w:color w:val="333333"/>
          <w:sz w:val="21"/>
          <w:szCs w:val="21"/>
        </w:rPr>
        <w:br/>
        <w:t>a) Yêu cầu về trình độ đào tạo, bồi dưỡng</w:t>
      </w:r>
      <w:r w:rsidRPr="000F0CA0">
        <w:rPr>
          <w:rFonts w:ascii="Arial" w:eastAsia="Times New Roman" w:hAnsi="Arial" w:cs="Arial"/>
          <w:color w:val="333333"/>
          <w:sz w:val="21"/>
          <w:szCs w:val="21"/>
        </w:rPr>
        <w:br/>
        <w:t>– Về trình độ đào tạo: Có bằng tốt nghiệp Đại học trở lên thuộc chuyên ngành kế toán, kiểm toán, tài chính.</w:t>
      </w:r>
      <w:r w:rsidRPr="000F0CA0">
        <w:rPr>
          <w:rFonts w:ascii="Arial" w:eastAsia="Times New Roman" w:hAnsi="Arial" w:cs="Arial"/>
          <w:color w:val="333333"/>
          <w:sz w:val="21"/>
          <w:szCs w:val="21"/>
        </w:rPr>
        <w:br/>
        <w:t>– Về trình độ bồi dưỡng:</w:t>
      </w:r>
      <w:r w:rsidRPr="000F0CA0">
        <w:rPr>
          <w:rFonts w:ascii="Arial" w:eastAsia="Times New Roman" w:hAnsi="Arial" w:cs="Arial"/>
          <w:color w:val="333333"/>
          <w:sz w:val="21"/>
          <w:szCs w:val="21"/>
        </w:rPr>
        <w:br/>
        <w:t xml:space="preserve">+ Tuyển dụng theo hình thức xét tuyển (không tổ chức đánh giá năng lực ngoại ngữ, tin học), thí sinh tham dự kỳ tuyển dụng phải cung cấp chứng chỉ ngoại ngữ, tin học để xác định khả năng sử dụng ngoại ngữ, tin học đáp ứng điều kiện, tiêu chuẩn ngạch, chức danh nghề nghiệp theo quy </w:t>
      </w:r>
      <w:r w:rsidRPr="000F0CA0">
        <w:rPr>
          <w:rFonts w:ascii="Arial" w:eastAsia="Times New Roman" w:hAnsi="Arial" w:cs="Arial"/>
          <w:color w:val="333333"/>
          <w:sz w:val="21"/>
          <w:szCs w:val="21"/>
        </w:rPr>
        <w:lastRenderedPageBreak/>
        <w:t>định.</w:t>
      </w:r>
      <w:r w:rsidRPr="000F0CA0">
        <w:rPr>
          <w:rFonts w:ascii="Arial" w:eastAsia="Times New Roman" w:hAnsi="Arial" w:cs="Arial"/>
          <w:color w:val="333333"/>
          <w:sz w:val="21"/>
          <w:szCs w:val="21"/>
        </w:rPr>
        <w:br/>
        <w:t>+ Có chứng chỉ hoàn thành chương trình bồi dưỡng ngạch kế toán viên hoặc chứng chỉ hành nghề kế toán (nếu ứng viên dự tuyển chưa có chứng chỉ thì sau khi được tuyển dụng, trong thời gian tập sự viên chức phải hoàn chỉnh tiêu chuẩn, điều kiện của chức danh nghề nghiệp trước khi bổ nhiệm).</w:t>
      </w:r>
      <w:r w:rsidRPr="000F0CA0">
        <w:rPr>
          <w:rFonts w:ascii="Arial" w:eastAsia="Times New Roman" w:hAnsi="Arial" w:cs="Arial"/>
          <w:color w:val="333333"/>
          <w:sz w:val="21"/>
          <w:szCs w:val="21"/>
        </w:rPr>
        <w:br/>
        <w:t>b) Số lượng cần tuyển và yêu cầu về chuyên ngành đào tạo</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0"/>
        <w:gridCol w:w="3708"/>
        <w:gridCol w:w="1797"/>
        <w:gridCol w:w="2889"/>
      </w:tblGrid>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23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09</w:t>
            </w:r>
          </w:p>
        </w:tc>
        <w:tc>
          <w:tcPr>
            <w:tcW w:w="23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Kế toán, Kiểm toán, Kế toán</w:t>
            </w:r>
          </w:p>
        </w:tc>
      </w:tr>
    </w:tbl>
    <w:p w:rsidR="000F0CA0" w:rsidRPr="000F0CA0" w:rsidRDefault="000F0CA0" w:rsidP="000F0CA0">
      <w:pPr>
        <w:spacing w:after="0" w:line="240" w:lineRule="auto"/>
        <w:rPr>
          <w:rFonts w:ascii="Times New Roman" w:eastAsia="Times New Roman" w:hAnsi="Times New Roman" w:cs="Times New Roman"/>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0"/>
        <w:gridCol w:w="3708"/>
        <w:gridCol w:w="1797"/>
        <w:gridCol w:w="2889"/>
      </w:tblGrid>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Chiềng Khương</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2376"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Kiểm toán, Tài chính hoặc các chuyên ngành có các học phần về kế toán, kiểm toán chiếm từ 30% trở lên của tổng số khối lượng kiến thức toàn khóa.</w:t>
            </w: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Gia Phù</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3</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Tô Hiệu</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4</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Mường Giôn</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5</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Co Mạ</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6</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Phiêng Khoài</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7</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Tân Lập</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8</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Bình Thuận</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9</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THPT Mường La</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B</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Trung tâm GDTX huyện</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Vân Hồ</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2</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Trung tâm GDTX Sốp Cộp</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2.2.2. Nhân viên Giáo vụ (mã số V.07.07.21)</w:t>
      </w:r>
      <w:r w:rsidRPr="000F0CA0">
        <w:rPr>
          <w:rFonts w:ascii="Arial" w:eastAsia="Times New Roman" w:hAnsi="Arial" w:cs="Arial"/>
          <w:color w:val="333333"/>
          <w:sz w:val="21"/>
          <w:szCs w:val="21"/>
        </w:rPr>
        <w:br/>
        <w:t>a) Yêu cầu về trình độ đào tạo và bồi dưỡng</w:t>
      </w:r>
      <w:r w:rsidRPr="000F0CA0">
        <w:rPr>
          <w:rFonts w:ascii="Arial" w:eastAsia="Times New Roman" w:hAnsi="Arial" w:cs="Arial"/>
          <w:color w:val="333333"/>
          <w:sz w:val="21"/>
          <w:szCs w:val="21"/>
        </w:rPr>
        <w:br/>
        <w:t>– Về trình độ đào tạo: Tốt nghiệp cao đẳng sư phạm (hoặc có bằng tốt nghiệp cao đẳng các chuyên ngành khác trở lên phù hợp với vị trí việc làm giáo vụ).</w:t>
      </w:r>
      <w:r w:rsidRPr="000F0CA0">
        <w:rPr>
          <w:rFonts w:ascii="Arial" w:eastAsia="Times New Roman" w:hAnsi="Arial" w:cs="Arial"/>
          <w:color w:val="333333"/>
          <w:sz w:val="21"/>
          <w:szCs w:val="21"/>
        </w:rPr>
        <w:br/>
        <w:t>– Về trình độ bồi dưỡng: Có chứng chỉ bồi dưỡng theo tiêu chuẩn chức danh nghề nghiệp nhân viên giáo vụ (nếu ứng viên dự tuyển chưa có chứng chỉ thì sau khi được tuyển dụng, trong thời gian tập sự viên chức phải hoàn chỉnh tiêu chuẩn, điều kiện của chức danh nghề nghiệp trước khi bổ nhiệm).</w:t>
      </w:r>
      <w:r w:rsidRPr="000F0CA0">
        <w:rPr>
          <w:rFonts w:ascii="Arial" w:eastAsia="Times New Roman" w:hAnsi="Arial" w:cs="Arial"/>
          <w:color w:val="333333"/>
          <w:sz w:val="21"/>
          <w:szCs w:val="21"/>
        </w:rPr>
        <w:br/>
        <w:t>b) Số lượng cần tuyển và yêu cầu về chuyên ngành đào tạo</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0"/>
        <w:gridCol w:w="3708"/>
        <w:gridCol w:w="1797"/>
        <w:gridCol w:w="2889"/>
      </w:tblGrid>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23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THPT</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01</w:t>
            </w:r>
          </w:p>
        </w:tc>
        <w:tc>
          <w:tcPr>
            <w:tcW w:w="2376"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Tốt nghiệp cao đẳng sư phạm trở lên </w:t>
            </w:r>
            <w:r w:rsidRPr="000F0CA0">
              <w:rPr>
                <w:rFonts w:ascii="Arial" w:eastAsia="Times New Roman" w:hAnsi="Arial" w:cs="Arial"/>
                <w:i/>
                <w:iCs/>
                <w:color w:val="333333"/>
                <w:sz w:val="21"/>
                <w:szCs w:val="21"/>
              </w:rPr>
              <w:t>(hoặc có bằng tốt nghiệp cao đẳng trở lên các chuyên ngành khác phù hợp với vị trí việc làm giáo vụ</w:t>
            </w:r>
            <w:r w:rsidRPr="000F0CA0">
              <w:rPr>
                <w:rFonts w:ascii="Arial" w:eastAsia="Times New Roman" w:hAnsi="Arial" w:cs="Arial"/>
                <w:color w:val="333333"/>
                <w:sz w:val="21"/>
                <w:szCs w:val="21"/>
              </w:rPr>
              <w:t>)</w:t>
            </w: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Trường THPT Chuyên</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0F0CA0" w:rsidRPr="000F0CA0" w:rsidRDefault="000F0CA0" w:rsidP="000F0CA0">
      <w:pPr>
        <w:shd w:val="clear" w:color="auto" w:fill="FFFFFF"/>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lastRenderedPageBreak/>
        <w:t>2.2.3. Nhân viên Y tế (Y sỹ hạng IV mã số V.08.03.07)</w:t>
      </w:r>
      <w:r w:rsidRPr="000F0CA0">
        <w:rPr>
          <w:rFonts w:ascii="Arial" w:eastAsia="Times New Roman" w:hAnsi="Arial" w:cs="Arial"/>
          <w:color w:val="333333"/>
          <w:sz w:val="21"/>
          <w:szCs w:val="21"/>
        </w:rPr>
        <w:br/>
        <w:t>a) Yêu cầu về trình độ đào tạo: Tốt nghiệp Y sỹ trung cấp trở lên.</w:t>
      </w:r>
      <w:r w:rsidRPr="000F0CA0">
        <w:rPr>
          <w:rFonts w:ascii="Arial" w:eastAsia="Times New Roman" w:hAnsi="Arial" w:cs="Arial"/>
          <w:color w:val="333333"/>
          <w:sz w:val="21"/>
          <w:szCs w:val="21"/>
        </w:rPr>
        <w:br/>
        <w:t>b) Số lượng cần tuyển và yêu cầu về chuyên ngành đào tạo</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0"/>
        <w:gridCol w:w="3708"/>
        <w:gridCol w:w="1797"/>
        <w:gridCol w:w="2889"/>
      </w:tblGrid>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STT</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Vị trí việc làm</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Số lượng cần tuyển dụng</w:t>
            </w:r>
          </w:p>
        </w:tc>
        <w:tc>
          <w:tcPr>
            <w:tcW w:w="23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Yêu cầu về chuyên ngành đào tạo</w:t>
            </w: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A</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b/>
                <w:bCs/>
                <w:color w:val="333333"/>
                <w:sz w:val="21"/>
                <w:szCs w:val="21"/>
              </w:rPr>
              <w:t>Các   trường  PTDT   nội   trú THCS&amp;THPT huyện</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 </w:t>
            </w:r>
          </w:p>
          <w:p w:rsidR="000F0CA0" w:rsidRPr="000F0CA0" w:rsidRDefault="000F0CA0" w:rsidP="000F0CA0">
            <w:pPr>
              <w:spacing w:after="0" w:line="370" w:lineRule="atLeast"/>
              <w:rPr>
                <w:rFonts w:ascii="Arial" w:eastAsia="Times New Roman" w:hAnsi="Arial" w:cs="Arial"/>
                <w:color w:val="333333"/>
                <w:sz w:val="21"/>
                <w:szCs w:val="21"/>
              </w:rPr>
            </w:pPr>
            <w:r w:rsidRPr="000F0CA0">
              <w:rPr>
                <w:rFonts w:ascii="Arial" w:eastAsia="Times New Roman" w:hAnsi="Arial" w:cs="Arial"/>
                <w:b/>
                <w:bCs/>
                <w:color w:val="333333"/>
                <w:sz w:val="21"/>
                <w:szCs w:val="21"/>
              </w:rPr>
              <w:t>01</w:t>
            </w:r>
          </w:p>
        </w:tc>
        <w:tc>
          <w:tcPr>
            <w:tcW w:w="2376"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Y sỹ</w:t>
            </w:r>
          </w:p>
        </w:tc>
      </w:tr>
      <w:tr w:rsidR="000F0CA0" w:rsidRPr="000F0CA0" w:rsidTr="000F0CA0">
        <w:trPr>
          <w:tblCellSpacing w:w="15" w:type="dxa"/>
        </w:trPr>
        <w:tc>
          <w:tcPr>
            <w:tcW w:w="7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1</w:t>
            </w:r>
          </w:p>
        </w:tc>
        <w:tc>
          <w:tcPr>
            <w:tcW w:w="307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Trường PTDT nội trú THCS &amp; THPT Vân Hồ</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F0CA0" w:rsidRPr="000F0CA0" w:rsidRDefault="000F0CA0" w:rsidP="000F0CA0">
            <w:pPr>
              <w:spacing w:after="0" w:line="240" w:lineRule="auto"/>
              <w:rPr>
                <w:rFonts w:ascii="Arial" w:eastAsia="Times New Roman" w:hAnsi="Arial" w:cs="Arial"/>
                <w:color w:val="333333"/>
                <w:sz w:val="21"/>
                <w:szCs w:val="21"/>
              </w:rPr>
            </w:pPr>
            <w:r w:rsidRPr="000F0CA0">
              <w:rPr>
                <w:rFonts w:ascii="Arial" w:eastAsia="Times New Roman" w:hAnsi="Arial" w:cs="Arial"/>
                <w:color w:val="333333"/>
                <w:sz w:val="21"/>
                <w:szCs w:val="21"/>
              </w:rPr>
              <w:t>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0CA0" w:rsidRPr="000F0CA0" w:rsidRDefault="000F0CA0" w:rsidP="000F0CA0">
            <w:pPr>
              <w:spacing w:after="0" w:line="240" w:lineRule="auto"/>
              <w:rPr>
                <w:rFonts w:ascii="Arial" w:eastAsia="Times New Roman" w:hAnsi="Arial" w:cs="Arial"/>
                <w:color w:val="333333"/>
                <w:sz w:val="21"/>
                <w:szCs w:val="21"/>
              </w:rPr>
            </w:pPr>
          </w:p>
        </w:tc>
      </w:tr>
    </w:tbl>
    <w:p w:rsidR="00EA40AB" w:rsidRDefault="00EA40AB"/>
    <w:sectPr w:rsidR="00EA4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1A23"/>
    <w:multiLevelType w:val="hybridMultilevel"/>
    <w:tmpl w:val="FF226888"/>
    <w:lvl w:ilvl="0" w:tplc="D62E5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22B"/>
    <w:rsid w:val="000F0CA0"/>
    <w:rsid w:val="004D222B"/>
    <w:rsid w:val="00EA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B6BFF-92EE-42D7-83C7-8A44B5AF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2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0CA0"/>
    <w:rPr>
      <w:b/>
      <w:bCs/>
    </w:rPr>
  </w:style>
  <w:style w:type="character" w:styleId="Emphasis">
    <w:name w:val="Emphasis"/>
    <w:basedOn w:val="DefaultParagraphFont"/>
    <w:uiPriority w:val="20"/>
    <w:qFormat/>
    <w:rsid w:val="000F0C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3080">
      <w:bodyDiv w:val="1"/>
      <w:marLeft w:val="0"/>
      <w:marRight w:val="0"/>
      <w:marTop w:val="0"/>
      <w:marBottom w:val="0"/>
      <w:divBdr>
        <w:top w:val="none" w:sz="0" w:space="0" w:color="auto"/>
        <w:left w:val="none" w:sz="0" w:space="0" w:color="auto"/>
        <w:bottom w:val="none" w:sz="0" w:space="0" w:color="auto"/>
        <w:right w:val="none" w:sz="0" w:space="0" w:color="auto"/>
      </w:divBdr>
    </w:div>
    <w:div w:id="88718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2023-08-05T02:50:00Z</dcterms:created>
  <dcterms:modified xsi:type="dcterms:W3CDTF">2023-08-05T03:37:00Z</dcterms:modified>
</cp:coreProperties>
</file>