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F74A" w14:textId="45ABB970" w:rsidR="00F267DB" w:rsidRDefault="00F267DB" w:rsidP="00F267DB">
      <w:pPr>
        <w:jc w:val="center"/>
        <w:rPr>
          <w:rFonts w:ascii="Times New Roman" w:hAnsi="Times New Roman" w:cs="Times New Roman"/>
          <w:b/>
          <w:bCs/>
          <w:sz w:val="32"/>
          <w:szCs w:val="32"/>
        </w:rPr>
      </w:pPr>
      <w:r w:rsidRPr="00F267DB">
        <w:rPr>
          <w:rFonts w:ascii="Times New Roman" w:hAnsi="Times New Roman" w:cs="Times New Roman"/>
          <w:b/>
          <w:bCs/>
          <w:sz w:val="32"/>
          <w:szCs w:val="32"/>
        </w:rPr>
        <w:t>CÁCH HOÀN THUẾ TNCN</w:t>
      </w:r>
      <w:r w:rsidRPr="00F267DB">
        <w:rPr>
          <w:rFonts w:ascii="Times New Roman" w:hAnsi="Times New Roman" w:cs="Times New Roman"/>
          <w:b/>
          <w:bCs/>
          <w:sz w:val="32"/>
          <w:szCs w:val="32"/>
          <w:lang w:val="vi-VN"/>
        </w:rPr>
        <w:t xml:space="preserve"> ONLINE</w:t>
      </w:r>
      <w:r w:rsidRPr="00F267DB">
        <w:rPr>
          <w:rFonts w:ascii="Times New Roman" w:hAnsi="Times New Roman" w:cs="Times New Roman"/>
          <w:b/>
          <w:bCs/>
          <w:sz w:val="32"/>
          <w:szCs w:val="32"/>
        </w:rPr>
        <w:t xml:space="preserve"> TRÊN ETAX MOBILE</w:t>
      </w:r>
    </w:p>
    <w:p w14:paraId="67F5CD7C" w14:textId="77777777" w:rsidR="00F267DB" w:rsidRPr="00F267DB" w:rsidRDefault="00F267DB" w:rsidP="00F267DB">
      <w:pPr>
        <w:jc w:val="center"/>
        <w:rPr>
          <w:rFonts w:ascii="Times New Roman" w:hAnsi="Times New Roman" w:cs="Times New Roman"/>
          <w:b/>
          <w:bCs/>
          <w:sz w:val="32"/>
          <w:szCs w:val="32"/>
        </w:rPr>
      </w:pPr>
    </w:p>
    <w:p w14:paraId="0178A49C"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Để tiến hành hoàn thuế thu nhập cá nhân trên eTax Mobile, bạn làm theo các bước sau:</w:t>
      </w:r>
    </w:p>
    <w:p w14:paraId="0C4F962B"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1: Mở ứng dụng eTax Mobile và đăng nhập vào tài khoản của bạn.</w:t>
      </w:r>
    </w:p>
    <w:p w14:paraId="6440AA84" w14:textId="71B68F16"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drawing>
          <wp:inline distT="0" distB="0" distL="0" distR="0" wp14:anchorId="32FF0F8A" wp14:editId="17D4D542">
            <wp:extent cx="2876550" cy="4429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76550" cy="4429125"/>
                    </a:xfrm>
                    <a:prstGeom prst="rect">
                      <a:avLst/>
                    </a:prstGeom>
                    <a:noFill/>
                    <a:ln>
                      <a:noFill/>
                    </a:ln>
                  </pic:spPr>
                </pic:pic>
              </a:graphicData>
            </a:graphic>
          </wp:inline>
        </w:drawing>
      </w:r>
    </w:p>
    <w:p w14:paraId="1FDA6674"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2: Truy cập mục “Đề nghị xử lý khoản nộp thừa” để tiếp tục quy trình.</w:t>
      </w:r>
    </w:p>
    <w:p w14:paraId="18993FDE" w14:textId="7D76260D"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7E03F01B" wp14:editId="2BE14DE5">
            <wp:extent cx="2876550" cy="5867400"/>
            <wp:effectExtent l="0" t="0" r="0" b="0"/>
            <wp:docPr id="8" name="Picture 8">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6550" cy="5867400"/>
                    </a:xfrm>
                    <a:prstGeom prst="rect">
                      <a:avLst/>
                    </a:prstGeom>
                    <a:noFill/>
                    <a:ln>
                      <a:noFill/>
                    </a:ln>
                  </pic:spPr>
                </pic:pic>
              </a:graphicData>
            </a:graphic>
          </wp:inline>
        </w:drawing>
      </w:r>
    </w:p>
    <w:p w14:paraId="4A33E550"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3: Chọn Cục Thuế và Chi cục Thuế (nếu có) và Chọn “Tiếp tục”. </w:t>
      </w:r>
    </w:p>
    <w:p w14:paraId="43F11AB5" w14:textId="3EA18D01"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781F26E1" wp14:editId="70CE8A6E">
            <wp:extent cx="2857500" cy="2219325"/>
            <wp:effectExtent l="0" t="0" r="0" b="9525"/>
            <wp:docPr id="7" name="Picture 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219325"/>
                    </a:xfrm>
                    <a:prstGeom prst="rect">
                      <a:avLst/>
                    </a:prstGeom>
                    <a:noFill/>
                    <a:ln>
                      <a:noFill/>
                    </a:ln>
                  </pic:spPr>
                </pic:pic>
              </a:graphicData>
            </a:graphic>
          </wp:inline>
        </w:drawing>
      </w:r>
    </w:p>
    <w:p w14:paraId="139A7A22"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4: Cung cấp thông tin của người làm đơn yêu cầu xử lý khoản thuế nộp thừa, sau đó nhấn “Tiếp tục”.</w:t>
      </w:r>
    </w:p>
    <w:p w14:paraId="284C1ECE"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Lưu ý: Các mục có dấu * là thông tin bắt buộc phải điền đầy đủ.</w:t>
      </w:r>
    </w:p>
    <w:p w14:paraId="0B467E03" w14:textId="5D69A201"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5E23754E" wp14:editId="24B20B56">
            <wp:extent cx="2886075" cy="5514975"/>
            <wp:effectExtent l="0" t="0" r="9525" b="9525"/>
            <wp:docPr id="6" name="Picture 6">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5514975"/>
                    </a:xfrm>
                    <a:prstGeom prst="rect">
                      <a:avLst/>
                    </a:prstGeom>
                    <a:noFill/>
                    <a:ln>
                      <a:noFill/>
                    </a:ln>
                  </pic:spPr>
                </pic:pic>
              </a:graphicData>
            </a:graphic>
          </wp:inline>
        </w:drawing>
      </w:r>
    </w:p>
    <w:p w14:paraId="2A5CDCE8"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5: Xác nhận lại các thông tin về số tiền thuế, tiền chậm nộp, và tiền phạt nộp thừa, sau đó nhấn “Tiếp tục”.</w:t>
      </w:r>
    </w:p>
    <w:p w14:paraId="47938360" w14:textId="41B71FDA"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11581D03" wp14:editId="7FAD9842">
            <wp:extent cx="2895600" cy="3781425"/>
            <wp:effectExtent l="0" t="0" r="0" b="9525"/>
            <wp:docPr id="5"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5600" cy="3781425"/>
                    </a:xfrm>
                    <a:prstGeom prst="rect">
                      <a:avLst/>
                    </a:prstGeom>
                    <a:noFill/>
                    <a:ln>
                      <a:noFill/>
                    </a:ln>
                  </pic:spPr>
                </pic:pic>
              </a:graphicData>
            </a:graphic>
          </wp:inline>
        </w:drawing>
      </w:r>
    </w:p>
    <w:p w14:paraId="0123E494"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6: Nhập số tiền phải nộp</w:t>
      </w:r>
    </w:p>
    <w:p w14:paraId="5904A80E"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Số tiền còn phải nộp đề nghị bù trừ với số tiền nộp thừa, số tiền còn phải nộp sau khi bù trừ, cùng các thông tin bắt buộc, sau đó nhấn “Tiếp tục”.</w:t>
      </w:r>
    </w:p>
    <w:p w14:paraId="22AFF3F6"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Lưu ý: Các mục có dấu * là thông tin bắt buộc phải điền đầy đủ.</w:t>
      </w:r>
    </w:p>
    <w:p w14:paraId="532EDF43" w14:textId="775A37BB"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7C5DB03D" wp14:editId="27440400">
            <wp:extent cx="2876550" cy="4848225"/>
            <wp:effectExtent l="0" t="0" r="0" b="9525"/>
            <wp:docPr id="4" name="Picture 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6550" cy="4848225"/>
                    </a:xfrm>
                    <a:prstGeom prst="rect">
                      <a:avLst/>
                    </a:prstGeom>
                    <a:noFill/>
                    <a:ln>
                      <a:noFill/>
                    </a:ln>
                  </pic:spPr>
                </pic:pic>
              </a:graphicData>
            </a:graphic>
          </wp:inline>
        </w:drawing>
      </w:r>
    </w:p>
    <w:p w14:paraId="4837DE56"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7: Xác nhận lại thông tin về số tiền đề nghị xử lý khoản nộp thừa, sau đó nhấn “Tiếp tục”.</w:t>
      </w:r>
    </w:p>
    <w:p w14:paraId="225970A5" w14:textId="79EE5A4A"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313EFE2F" wp14:editId="394DD4ED">
            <wp:extent cx="2886075" cy="4229100"/>
            <wp:effectExtent l="0" t="0" r="9525" b="0"/>
            <wp:docPr id="3" name="Picture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6075" cy="4229100"/>
                    </a:xfrm>
                    <a:prstGeom prst="rect">
                      <a:avLst/>
                    </a:prstGeom>
                    <a:noFill/>
                    <a:ln>
                      <a:noFill/>
                    </a:ln>
                  </pic:spPr>
                </pic:pic>
              </a:graphicData>
            </a:graphic>
          </wp:inline>
        </w:drawing>
      </w:r>
    </w:p>
    <w:p w14:paraId="5C4336E4"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8: Đặt tên cho tài liệu đính kèm và chọn đơn đề nghị hoàn thuế, sau đó nhấn “Tiếp tục”.</w:t>
      </w:r>
    </w:p>
    <w:p w14:paraId="199DB793"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Chọn tờ khai: 02/QTT-TNCN – Tờ khai quyết toán thuế TNCN (TT80/2021).</w:t>
      </w:r>
    </w:p>
    <w:p w14:paraId="529847B6" w14:textId="359314C3"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drawing>
          <wp:inline distT="0" distB="0" distL="0" distR="0" wp14:anchorId="58AA2BD0" wp14:editId="3EF0C3C4">
            <wp:extent cx="2857500" cy="2257425"/>
            <wp:effectExtent l="0" t="0" r="0" b="9525"/>
            <wp:docPr id="2" name="Picture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2257425"/>
                    </a:xfrm>
                    <a:prstGeom prst="rect">
                      <a:avLst/>
                    </a:prstGeom>
                    <a:noFill/>
                    <a:ln>
                      <a:noFill/>
                    </a:ln>
                  </pic:spPr>
                </pic:pic>
              </a:graphicData>
            </a:graphic>
          </wp:inline>
        </w:drawing>
      </w:r>
    </w:p>
    <w:p w14:paraId="3703EBA2" w14:textId="77777777"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t>Bước 9: Nhập mã OTP được gửi về số điện thoại của người nộp thuế, sau đó nhấn “Hoàn thành”.</w:t>
      </w:r>
    </w:p>
    <w:p w14:paraId="2C736983" w14:textId="6DD122CF" w:rsidR="00F267DB" w:rsidRPr="00F267DB" w:rsidRDefault="00F267DB" w:rsidP="00F267DB">
      <w:pPr>
        <w:rPr>
          <w:rFonts w:ascii="Times New Roman" w:hAnsi="Times New Roman" w:cs="Times New Roman"/>
          <w:sz w:val="26"/>
          <w:szCs w:val="26"/>
        </w:rPr>
      </w:pPr>
      <w:r w:rsidRPr="00F267DB">
        <w:rPr>
          <w:rFonts w:ascii="Times New Roman" w:hAnsi="Times New Roman" w:cs="Times New Roman"/>
          <w:sz w:val="26"/>
          <w:szCs w:val="26"/>
        </w:rPr>
        <w:lastRenderedPageBreak/>
        <w:drawing>
          <wp:inline distT="0" distB="0" distL="0" distR="0" wp14:anchorId="135FA321" wp14:editId="5B1FCB8F">
            <wp:extent cx="2857500" cy="1257300"/>
            <wp:effectExtent l="0" t="0" r="0" b="0"/>
            <wp:docPr id="1" name="Picture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500" cy="1257300"/>
                    </a:xfrm>
                    <a:prstGeom prst="rect">
                      <a:avLst/>
                    </a:prstGeom>
                    <a:noFill/>
                    <a:ln>
                      <a:noFill/>
                    </a:ln>
                  </pic:spPr>
                </pic:pic>
              </a:graphicData>
            </a:graphic>
          </wp:inline>
        </w:drawing>
      </w:r>
    </w:p>
    <w:p w14:paraId="2CCC242C" w14:textId="77777777" w:rsidR="008B39B4" w:rsidRPr="00F267DB" w:rsidRDefault="008B39B4" w:rsidP="00F267DB">
      <w:pPr>
        <w:rPr>
          <w:rFonts w:ascii="Times New Roman" w:hAnsi="Times New Roman" w:cs="Times New Roman"/>
          <w:sz w:val="26"/>
          <w:szCs w:val="26"/>
        </w:rPr>
      </w:pPr>
    </w:p>
    <w:sectPr w:rsidR="008B39B4" w:rsidRPr="00F267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DB"/>
    <w:rsid w:val="008B39B4"/>
    <w:rsid w:val="00F2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AB6C5"/>
  <w15:chartTrackingRefBased/>
  <w15:docId w15:val="{CD295F98-72A2-4417-B82F-E3C09B92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267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67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67D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67D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67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67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fahasa.com/blog/wp-content/uploads/2025/04/buoc-6-hoan.png" TargetMode="External"/><Relationship Id="rId18"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fahasa.com/blog/wp-content/uploads/2025/04/buoc-3-hoan.png" TargetMode="External"/><Relationship Id="rId12" Type="http://schemas.openxmlformats.org/officeDocument/2006/relationships/image" Target="media/image5.png"/><Relationship Id="rId17" Type="http://schemas.openxmlformats.org/officeDocument/2006/relationships/hyperlink" Target="http://www.fahasa.com/blog/wp-content/uploads/2025/04/buoc-8-hoan.png"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www.fahasa.com/blog/wp-content/uploads/2025/04/buoc-5-hoan.png" TargetMode="External"/><Relationship Id="rId5" Type="http://schemas.openxmlformats.org/officeDocument/2006/relationships/hyperlink" Target="http://www.fahasa.com/blog/wp-content/uploads/2025/04/buoc-2-hoan.png" TargetMode="External"/><Relationship Id="rId15" Type="http://schemas.openxmlformats.org/officeDocument/2006/relationships/hyperlink" Target="http://www.fahasa.com/blog/wp-content/uploads/2025/04/buoc-7-hoan.png" TargetMode="External"/><Relationship Id="rId10" Type="http://schemas.openxmlformats.org/officeDocument/2006/relationships/image" Target="media/image4.png"/><Relationship Id="rId19" Type="http://schemas.openxmlformats.org/officeDocument/2006/relationships/hyperlink" Target="http://www.fahasa.com/blog/wp-content/uploads/2025/04/buoc-9-hoan.png" TargetMode="External"/><Relationship Id="rId4" Type="http://schemas.openxmlformats.org/officeDocument/2006/relationships/image" Target="media/image1.jpeg"/><Relationship Id="rId9" Type="http://schemas.openxmlformats.org/officeDocument/2006/relationships/hyperlink" Target="http://www.fahasa.com/blog/wp-content/uploads/2025/04/buoc-4-hoan.png"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2026-01-15T07:19:00Z</dcterms:created>
  <dcterms:modified xsi:type="dcterms:W3CDTF">2026-01-15T07:21:00Z</dcterms:modified>
</cp:coreProperties>
</file>