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F19B2" w14:textId="3D482A02" w:rsidR="007C2538" w:rsidRDefault="007C2538" w:rsidP="007C2538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212529"/>
          <w:sz w:val="36"/>
          <w:szCs w:val="36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36"/>
          <w:szCs w:val="36"/>
        </w:rPr>
        <w:t>HƯỚNG DẪN NỘP TỜ KHAI THUẾ TNCNC QUÝ 4</w:t>
      </w:r>
      <w:r w:rsidRPr="007C2538">
        <w:rPr>
          <w:rFonts w:ascii="Helvetica" w:eastAsia="Times New Roman" w:hAnsi="Helvetica" w:cs="Helvetica"/>
          <w:b/>
          <w:bCs/>
          <w:color w:val="212529"/>
          <w:sz w:val="36"/>
          <w:szCs w:val="36"/>
          <w:lang w:val="vi-VN"/>
        </w:rPr>
        <w:t>/</w:t>
      </w:r>
      <w:r w:rsidRPr="007C2538">
        <w:rPr>
          <w:rFonts w:ascii="Helvetica" w:eastAsia="Times New Roman" w:hAnsi="Helvetica" w:cs="Helvetica"/>
          <w:b/>
          <w:bCs/>
          <w:color w:val="212529"/>
          <w:sz w:val="36"/>
          <w:szCs w:val="36"/>
        </w:rPr>
        <w:t>2025 TRÊN DỊCH VỤ CÔNG</w:t>
      </w:r>
    </w:p>
    <w:p w14:paraId="14805443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b/>
          <w:bCs/>
          <w:color w:val="212529"/>
          <w:sz w:val="36"/>
          <w:szCs w:val="36"/>
        </w:rPr>
      </w:pPr>
    </w:p>
    <w:p w14:paraId="6513329E" w14:textId="60D9D3CC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Bước 1. Truy cập hệ thống</w:t>
      </w:r>
    </w:p>
    <w:p w14:paraId="2C89B86F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Mở trình duyệt và vào: https://dichvucong.gdt.gov.vn</w:t>
      </w:r>
    </w:p>
    <w:p w14:paraId="3A75366B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Chọn Đăng nhập bằng tài khoản định danh điện tử hoặc tài khoản thuế theo quy định.</w:t>
      </w:r>
    </w:p>
    <w:p w14:paraId="3DB57446" w14:textId="0B14B8C9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774F7A1C" wp14:editId="0F2149B1">
            <wp:extent cx="5943600" cy="11010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A6D41" w14:textId="66EEB81D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3F0C8114" wp14:editId="23C8BC5B">
            <wp:extent cx="5943600" cy="18681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E4FEC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(1) Chọn loại tài khoản bạn muốn sử dụng đăng nhập</w:t>
      </w:r>
    </w:p>
    <w:p w14:paraId="51CCED92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(2) Đối tượng đăng nhập: chọn “Doanh nghiệp”</w:t>
      </w:r>
    </w:p>
    <w:p w14:paraId="3DC2D5E7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(3) Thực hiện nhập thông tin đăng nhập:</w:t>
      </w:r>
    </w:p>
    <w:p w14:paraId="7694CCEA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+ Nhập tên tài khoản và mật khẩu của công ty bạn vào hệ thống</w:t>
      </w:r>
    </w:p>
    <w:p w14:paraId="45863095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+ Nhập Mã captcha</w:t>
      </w:r>
    </w:p>
    <w:p w14:paraId="48029C78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+ Bấm vào “Đăng nhập” để đăng nhập vào Hệ thống thông tin giải quyết thủ tục hành chính</w:t>
      </w:r>
    </w:p>
    <w:p w14:paraId="2739875B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Bước 2. Chọn dịch vụ trình ký trong hồ sơ khai thuế</w:t>
      </w:r>
    </w:p>
    <w:p w14:paraId="650A66C7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lastRenderedPageBreak/>
        <w:t>Bấm chọn Mục "</w:t>
      </w: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Dịch vụ khác</w:t>
      </w: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" rồi bấm vào tab "</w:t>
      </w: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Hồ sơ khai thuế khác</w:t>
      </w: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" =&gt; Rồi bấm vào phần "</w:t>
      </w: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Trình ký</w:t>
      </w: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"</w:t>
      </w:r>
    </w:p>
    <w:p w14:paraId="5B15CD63" w14:textId="695F6478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5DC0AE50" wp14:editId="3C8F87F4">
            <wp:extent cx="5943600" cy="37985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53AC9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Bước 3: Tải tờ khai thuế lên hệ thống để trình kỳ</w:t>
      </w:r>
    </w:p>
    <w:p w14:paraId="225D1979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Chọn tệp tờ khai thuế đã chuẩn bị.</w:t>
      </w:r>
    </w:p>
    <w:p w14:paraId="68A6F286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Kiểm tra các thông tin: mã số thuế, kỳ tính thuế, loại tờ khai.</w:t>
      </w:r>
    </w:p>
    <w:p w14:paraId="67B2E807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Chọn đúng “Mã Thủ tục Hành chính (TTHC)” tương ứng với loại tờ khai bạn nộp.</w:t>
      </w:r>
    </w:p>
    <w:p w14:paraId="557C3D38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Nếu chọn sai mã thủ tục hành chính → hệ thống có thể không ghi nhận hồ sơ hợp lệ, và thuế sẽ không được tiếp nhận.</w:t>
      </w:r>
    </w:p>
    <w:p w14:paraId="1A455DAB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t>Để tìm và chọn nhanh được thủ tục hành chính có thể gõ trực tiếp số mã thủ tục hành chính vào dòng tìm kiếm:</w:t>
      </w:r>
    </w:p>
    <w:tbl>
      <w:tblPr>
        <w:tblW w:w="73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8"/>
        <w:gridCol w:w="4687"/>
        <w:gridCol w:w="1150"/>
      </w:tblGrid>
      <w:tr w:rsidR="007C2538" w:rsidRPr="007C2538" w14:paraId="1B1C5CF3" w14:textId="77777777" w:rsidTr="007C2538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7227382B" w14:textId="77777777" w:rsidR="007C2538" w:rsidRPr="007C2538" w:rsidRDefault="007C2538" w:rsidP="007C2538">
            <w:pPr>
              <w:spacing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b/>
                <w:bCs/>
                <w:color w:val="212529"/>
                <w:sz w:val="24"/>
                <w:szCs w:val="24"/>
              </w:rPr>
              <w:t>Mã thủ tục hành chính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65A2BBA9" w14:textId="77777777" w:rsidR="007C2538" w:rsidRPr="007C2538" w:rsidRDefault="007C2538" w:rsidP="007C2538">
            <w:pPr>
              <w:spacing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b/>
                <w:bCs/>
                <w:color w:val="212529"/>
                <w:sz w:val="24"/>
                <w:szCs w:val="24"/>
              </w:rPr>
              <w:t>Tên thủ tục hành chính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2F062DEB" w14:textId="77777777" w:rsidR="007C2538" w:rsidRPr="007C2538" w:rsidRDefault="007C2538" w:rsidP="007C2538">
            <w:pPr>
              <w:spacing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b/>
                <w:bCs/>
                <w:color w:val="212529"/>
                <w:sz w:val="24"/>
                <w:szCs w:val="24"/>
              </w:rPr>
              <w:t>Mẫu tờ khai</w:t>
            </w:r>
          </w:p>
        </w:tc>
      </w:tr>
      <w:tr w:rsidR="007C2538" w:rsidRPr="007C2538" w14:paraId="0DCDD67A" w14:textId="77777777" w:rsidTr="007C2538"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2A26A22E" w14:textId="77777777" w:rsidR="007C2538" w:rsidRPr="007C2538" w:rsidRDefault="007C2538" w:rsidP="007C2538">
            <w:pPr>
              <w:spacing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  <w:t>2.002235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272898A0" w14:textId="77777777" w:rsidR="007C2538" w:rsidRPr="007C2538" w:rsidRDefault="007C2538" w:rsidP="007C2538">
            <w:pPr>
              <w:spacing w:after="100" w:afterAutospacing="1" w:line="240" w:lineRule="auto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  <w:t>Khai thuế thu nhập cá nhân tháng/quý của tổ chức, cá nhân trả thu nhập khấu trừ thuế đối với tiền lương, tiền công</w:t>
            </w:r>
          </w:p>
        </w:tc>
        <w:tc>
          <w:tcPr>
            <w:tcW w:w="0" w:type="auto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14:paraId="5B740AC4" w14:textId="77777777" w:rsidR="007C2538" w:rsidRPr="007C2538" w:rsidRDefault="007C2538" w:rsidP="007C2538">
            <w:pPr>
              <w:spacing w:after="100" w:afterAutospacing="1" w:line="240" w:lineRule="auto"/>
              <w:jc w:val="center"/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</w:pPr>
            <w:r w:rsidRPr="007C2538">
              <w:rPr>
                <w:rFonts w:ascii="Helvetica" w:eastAsia="Times New Roman" w:hAnsi="Helvetica" w:cs="Helvetica"/>
                <w:color w:val="212529"/>
                <w:sz w:val="24"/>
                <w:szCs w:val="24"/>
              </w:rPr>
              <w:t>Mẫu 05/KK-TNCN</w:t>
            </w:r>
          </w:p>
        </w:tc>
      </w:tr>
    </w:tbl>
    <w:p w14:paraId="2CA9AE8F" w14:textId="46331FE5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lastRenderedPageBreak/>
        <w:drawing>
          <wp:inline distT="0" distB="0" distL="0" distR="0" wp14:anchorId="43EC08EE" wp14:editId="77BDC4C8">
            <wp:extent cx="5943600" cy="345884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A6C2F" w14:textId="29E6833B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511F7272" wp14:editId="324C0848">
            <wp:extent cx="5943600" cy="344487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4FE73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Bước 4: Ký điện tử tờ khai thuế và nộp tờ khai</w:t>
      </w:r>
    </w:p>
    <w:p w14:paraId="13123E2C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Sau khi kiểm tra xong, chọn Trình ký → Ký và Nộp tờ khai.</w:t>
      </w:r>
    </w:p>
    <w:p w14:paraId="3DE7E0E5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Hệ thống hiện thị ra mã pin chữ ký số thì nhập mật khẩu (Mã Pin) của chữ ký</w:t>
      </w:r>
    </w:p>
    <w:p w14:paraId="03AB92E7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lastRenderedPageBreak/>
        <w:t>=&gt; Nhập mã PIN đúng và chọn nút “Chấp nhận” =&gt; Hệ thống báo ký điện tử thành công</w:t>
      </w:r>
    </w:p>
    <w:p w14:paraId="682F55FF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Sau khi ký điện tử xong thì màn hình sẽ hiện thị ra danh sách tờ khai thuế đã nộp qua mạng đến cơ quan thuế</w:t>
      </w:r>
    </w:p>
    <w:p w14:paraId="7B030CAC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Hệ thống sẽ xử lý và gửi phản hồi về kết quả nộp tờ khai.</w:t>
      </w:r>
    </w:p>
    <w:p w14:paraId="3F0A180C" w14:textId="66041B4D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3E764D0A" wp14:editId="33A1ECBF">
            <wp:extent cx="5943600" cy="56553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5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95E0D" w14:textId="39686658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lastRenderedPageBreak/>
        <w:drawing>
          <wp:inline distT="0" distB="0" distL="0" distR="0" wp14:anchorId="5B76595D" wp14:editId="1D574E6D">
            <wp:extent cx="5562600" cy="5162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9DC74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color w:val="212529"/>
          <w:sz w:val="24"/>
          <w:szCs w:val="24"/>
        </w:rPr>
        <w:t>Bước 5: Nhận kết quả</w:t>
      </w:r>
    </w:p>
    <w:p w14:paraId="6D7B5622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color w:val="212529"/>
          <w:sz w:val="24"/>
          <w:szCs w:val="24"/>
        </w:rPr>
        <w:t>- Lưu lại biên nhận / mã xác nhận sau khi nộp thành công để đối chiếu với cơ quan thuế.</w:t>
      </w:r>
    </w:p>
    <w:p w14:paraId="2FA455CE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b/>
          <w:bCs/>
          <w:i/>
          <w:iCs/>
          <w:color w:val="212529"/>
          <w:sz w:val="24"/>
          <w:szCs w:val="24"/>
        </w:rPr>
        <w:t>NHỮNG LƯU Ý QUAN TRỌNG</w:t>
      </w:r>
    </w:p>
    <w:p w14:paraId="4E7C98A0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t>- Đăng nhập bằng tài khoản định danh điện tử hoặc thuế điện tử mới thực hiện nộp được.</w:t>
      </w:r>
    </w:p>
    <w:p w14:paraId="1CF81555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t>- Mã Thủ tục Hành chính phải chính xác:</w:t>
      </w:r>
    </w:p>
    <w:p w14:paraId="7457243C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t>- Chọn sai mã TTHC → hồ sơ có thể không được tiếp nhận hợp lệ.</w:t>
      </w:r>
    </w:p>
    <w:p w14:paraId="4E160124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t>- Nộp tờ khai đúng thời hạn pháp luật thuế quy định để tránh bị phạt.</w:t>
      </w:r>
    </w:p>
    <w:p w14:paraId="3D3698EC" w14:textId="77777777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i/>
          <w:iCs/>
          <w:color w:val="212529"/>
          <w:sz w:val="24"/>
          <w:szCs w:val="24"/>
        </w:rPr>
        <w:lastRenderedPageBreak/>
        <w:t>- Sau khi nộp, CQT sẽ gửi thông báo chấp nhận hoặc không chấp nhận hồ sơ.</w:t>
      </w:r>
    </w:p>
    <w:p w14:paraId="72955D37" w14:textId="1E364F21" w:rsidR="007C2538" w:rsidRPr="007C2538" w:rsidRDefault="007C2538" w:rsidP="007C2538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12529"/>
          <w:sz w:val="24"/>
          <w:szCs w:val="24"/>
        </w:rPr>
      </w:pPr>
      <w:r w:rsidRPr="007C2538">
        <w:rPr>
          <w:rFonts w:ascii="Helvetica" w:eastAsia="Times New Roman" w:hAnsi="Helvetica" w:cs="Helvetica"/>
          <w:noProof/>
          <w:color w:val="212529"/>
          <w:sz w:val="24"/>
          <w:szCs w:val="24"/>
        </w:rPr>
        <w:drawing>
          <wp:inline distT="0" distB="0" distL="0" distR="0" wp14:anchorId="664F31BB" wp14:editId="11FC7C39">
            <wp:extent cx="5943600" cy="56965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CACC9" w14:textId="77777777" w:rsidR="00C55BDE" w:rsidRDefault="00C55BDE"/>
    <w:sectPr w:rsidR="00C55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38"/>
    <w:rsid w:val="007C2538"/>
    <w:rsid w:val="00C5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C8D8CA"/>
  <w15:chartTrackingRefBased/>
  <w15:docId w15:val="{06741E6C-3C29-4EC1-AF55-CD2122F8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2538"/>
    <w:rPr>
      <w:b/>
      <w:bCs/>
    </w:rPr>
  </w:style>
  <w:style w:type="character" w:styleId="Emphasis">
    <w:name w:val="Emphasis"/>
    <w:basedOn w:val="DefaultParagraphFont"/>
    <w:uiPriority w:val="20"/>
    <w:qFormat/>
    <w:rsid w:val="007C25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2026-01-17T01:16:00Z</dcterms:created>
  <dcterms:modified xsi:type="dcterms:W3CDTF">2026-01-17T01:17:00Z</dcterms:modified>
</cp:coreProperties>
</file>