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267E6" w14:textId="77777777" w:rsidR="00C82BCF" w:rsidRPr="00A42EBD" w:rsidRDefault="00C82BCF" w:rsidP="00060AE9">
      <w:pPr>
        <w:spacing w:before="120" w:after="120" w:line="240" w:lineRule="auto"/>
        <w:ind w:firstLine="720"/>
        <w:jc w:val="center"/>
        <w:rPr>
          <w:b/>
          <w:color w:val="000000" w:themeColor="text1"/>
          <w:szCs w:val="28"/>
          <w:lang w:val="vi-VN"/>
        </w:rPr>
      </w:pPr>
      <w:r w:rsidRPr="00A42EBD">
        <w:rPr>
          <w:b/>
          <w:color w:val="000000" w:themeColor="text1"/>
          <w:szCs w:val="28"/>
          <w:lang w:val="vi-VN"/>
        </w:rPr>
        <w:t>TỔNG QUAN</w:t>
      </w:r>
    </w:p>
    <w:p w14:paraId="5E38C6E2" w14:textId="77777777" w:rsidR="00C82BCF" w:rsidRPr="00A42EBD" w:rsidRDefault="00C54E3A" w:rsidP="00060AE9">
      <w:pPr>
        <w:spacing w:before="120" w:after="120" w:line="240" w:lineRule="auto"/>
        <w:ind w:firstLine="720"/>
        <w:jc w:val="center"/>
        <w:rPr>
          <w:color w:val="000000" w:themeColor="text1"/>
          <w:sz w:val="30"/>
          <w:szCs w:val="30"/>
          <w:lang w:val="vi-VN"/>
        </w:rPr>
      </w:pPr>
      <w:r w:rsidRPr="00A42EBD">
        <w:rPr>
          <w:b/>
          <w:color w:val="000000" w:themeColor="text1"/>
          <w:spacing w:val="-10"/>
          <w:sz w:val="27"/>
          <w:szCs w:val="27"/>
          <w:lang w:val="vi-VN"/>
        </w:rPr>
        <w:t xml:space="preserve">DỰ BÁO TÌNH HÌNH KINH TẾ THẾ GIỚI QUÝ </w:t>
      </w:r>
      <w:r w:rsidR="008F54EA" w:rsidRPr="00A42EBD">
        <w:rPr>
          <w:b/>
          <w:color w:val="000000" w:themeColor="text1"/>
          <w:spacing w:val="-10"/>
          <w:sz w:val="27"/>
          <w:szCs w:val="27"/>
          <w:lang w:val="vi-VN"/>
        </w:rPr>
        <w:t>I</w:t>
      </w:r>
      <w:r w:rsidRPr="00A42EBD">
        <w:rPr>
          <w:b/>
          <w:color w:val="000000" w:themeColor="text1"/>
          <w:spacing w:val="-10"/>
          <w:sz w:val="27"/>
          <w:szCs w:val="27"/>
          <w:lang w:val="vi-VN"/>
        </w:rPr>
        <w:t>I VÀ NĂM 2023</w:t>
      </w:r>
      <w:r w:rsidRPr="00A42EBD">
        <w:rPr>
          <w:rStyle w:val="FootnoteReference"/>
          <w:b/>
          <w:color w:val="000000" w:themeColor="text1"/>
          <w:sz w:val="30"/>
          <w:szCs w:val="30"/>
          <w:lang w:val="vi-VN"/>
        </w:rPr>
        <w:footnoteReference w:id="1"/>
      </w:r>
    </w:p>
    <w:p w14:paraId="4332AE42" w14:textId="2BF70D90" w:rsidR="003C7376" w:rsidRPr="00AD461C" w:rsidRDefault="00A54DD8" w:rsidP="00060AE9">
      <w:pPr>
        <w:spacing w:before="120" w:after="120" w:line="240" w:lineRule="auto"/>
        <w:ind w:firstLine="720"/>
        <w:jc w:val="both"/>
        <w:rPr>
          <w:i/>
          <w:spacing w:val="-4"/>
        </w:rPr>
      </w:pPr>
      <w:r w:rsidRPr="00AD461C">
        <w:rPr>
          <w:i/>
          <w:spacing w:val="-4"/>
        </w:rPr>
        <w:t>Đ</w:t>
      </w:r>
      <w:r w:rsidR="003C7376" w:rsidRPr="00AD461C">
        <w:rPr>
          <w:i/>
          <w:spacing w:val="-4"/>
        </w:rPr>
        <w:t xml:space="preserve">a số </w:t>
      </w:r>
      <w:r w:rsidRPr="00AD461C">
        <w:rPr>
          <w:i/>
          <w:spacing w:val="-4"/>
        </w:rPr>
        <w:t xml:space="preserve">các </w:t>
      </w:r>
      <w:r w:rsidR="003C7376" w:rsidRPr="00AD461C">
        <w:rPr>
          <w:i/>
          <w:spacing w:val="-4"/>
        </w:rPr>
        <w:t>tổ chức quốc tế dự</w:t>
      </w:r>
      <w:r w:rsidR="003C7376" w:rsidRPr="00AD461C">
        <w:rPr>
          <w:i/>
          <w:spacing w:val="-4"/>
          <w:lang w:val="vi-VN"/>
        </w:rPr>
        <w:t xml:space="preserve"> báo tăng trưởng </w:t>
      </w:r>
      <w:r w:rsidRPr="00AD461C">
        <w:rPr>
          <w:i/>
          <w:spacing w:val="-4"/>
        </w:rPr>
        <w:t>kinh tế toàn cầu năm 2023</w:t>
      </w:r>
      <w:r w:rsidR="008559F7" w:rsidRPr="00AD461C">
        <w:rPr>
          <w:i/>
          <w:spacing w:val="-4"/>
        </w:rPr>
        <w:t xml:space="preserve"> </w:t>
      </w:r>
      <w:r w:rsidR="00470134" w:rsidRPr="00AD461C">
        <w:rPr>
          <w:i/>
          <w:spacing w:val="-4"/>
        </w:rPr>
        <w:t>tăng nhẹ</w:t>
      </w:r>
      <w:r w:rsidR="00BB68D1" w:rsidRPr="00AD461C">
        <w:rPr>
          <w:i/>
          <w:spacing w:val="-4"/>
        </w:rPr>
        <w:t xml:space="preserve"> so với dự báo từ đầu năm nhưng </w:t>
      </w:r>
      <w:r w:rsidR="005F1C25" w:rsidRPr="00AD461C">
        <w:rPr>
          <w:i/>
          <w:spacing w:val="-4"/>
        </w:rPr>
        <w:t xml:space="preserve">vẫn </w:t>
      </w:r>
      <w:r w:rsidR="00BB68D1" w:rsidRPr="00AD461C">
        <w:rPr>
          <w:i/>
          <w:spacing w:val="-4"/>
        </w:rPr>
        <w:t>thấp hơn so với tốc độ tăng trưởng năm 2022</w:t>
      </w:r>
      <w:r w:rsidR="003C7376" w:rsidRPr="00AD461C">
        <w:rPr>
          <w:i/>
          <w:spacing w:val="-4"/>
        </w:rPr>
        <w:t xml:space="preserve">. Ngân hàng Thế giới (WB) nhận định tăng trưởng toàn cầu sẽ chậm lại ở mức 2,1% trong năm 2023, điều chỉnh tăng 0,4 điểm phần trăm so với dự báo đầu năm 2023. Trong Báo cáo Triển vọng kinh tế tháng 6/2023, Tổ chức Hợp tác và Phát triển kinh tế (OECD) </w:t>
      </w:r>
      <w:r w:rsidR="005F1C25" w:rsidRPr="00AD461C">
        <w:rPr>
          <w:i/>
          <w:spacing w:val="-4"/>
        </w:rPr>
        <w:t>dự báo</w:t>
      </w:r>
      <w:r w:rsidR="003C7376" w:rsidRPr="00AD461C">
        <w:rPr>
          <w:i/>
          <w:spacing w:val="-4"/>
        </w:rPr>
        <w:t xml:space="preserve"> tăng trưởng </w:t>
      </w:r>
      <w:r w:rsidR="00EA053B" w:rsidRPr="00AD461C">
        <w:rPr>
          <w:i/>
          <w:spacing w:val="-4"/>
        </w:rPr>
        <w:t>kinh tế</w:t>
      </w:r>
      <w:r w:rsidR="003C7376" w:rsidRPr="00AD461C">
        <w:rPr>
          <w:i/>
          <w:spacing w:val="-4"/>
        </w:rPr>
        <w:t xml:space="preserve"> toàn cầu năm 2023 </w:t>
      </w:r>
      <w:r w:rsidRPr="00AD461C">
        <w:rPr>
          <w:i/>
          <w:spacing w:val="-4"/>
        </w:rPr>
        <w:t xml:space="preserve">đạt </w:t>
      </w:r>
      <w:r w:rsidR="003C7376" w:rsidRPr="00AD461C">
        <w:rPr>
          <w:i/>
          <w:spacing w:val="-4"/>
        </w:rPr>
        <w:t xml:space="preserve">2,7%, tăng 0,1 điểm phần trăm so với dự báo trong tháng 3/2023. </w:t>
      </w:r>
      <w:r w:rsidR="005F1C25" w:rsidRPr="00AD461C">
        <w:rPr>
          <w:i/>
          <w:spacing w:val="-4"/>
        </w:rPr>
        <w:t>B</w:t>
      </w:r>
      <w:r w:rsidR="003C7376" w:rsidRPr="00AD461C">
        <w:rPr>
          <w:i/>
          <w:spacing w:val="-4"/>
        </w:rPr>
        <w:t>áo cáo Tình hình và triển vọng kinh tế thế giới giữa năm 2023</w:t>
      </w:r>
      <w:r w:rsidR="005F1C25" w:rsidRPr="00AD461C">
        <w:rPr>
          <w:i/>
          <w:spacing w:val="-4"/>
        </w:rPr>
        <w:t xml:space="preserve"> của</w:t>
      </w:r>
      <w:r w:rsidR="003C7376" w:rsidRPr="00AD461C">
        <w:rPr>
          <w:i/>
          <w:spacing w:val="-4"/>
        </w:rPr>
        <w:t xml:space="preserve"> Liên hợp quốc (UNDESA) dự báo </w:t>
      </w:r>
      <w:r w:rsidR="00102B39">
        <w:rPr>
          <w:i/>
          <w:spacing w:val="-4"/>
        </w:rPr>
        <w:t xml:space="preserve">kinh tế toàn cầu </w:t>
      </w:r>
      <w:r w:rsidR="003C7376" w:rsidRPr="00AD461C">
        <w:rPr>
          <w:i/>
          <w:spacing w:val="-4"/>
        </w:rPr>
        <w:t xml:space="preserve">tăng trưởng </w:t>
      </w:r>
      <w:r w:rsidR="00102B39" w:rsidRPr="00AD461C">
        <w:rPr>
          <w:i/>
          <w:spacing w:val="-4"/>
        </w:rPr>
        <w:t>2,3%</w:t>
      </w:r>
      <w:r w:rsidR="00102B39">
        <w:rPr>
          <w:i/>
          <w:spacing w:val="-4"/>
        </w:rPr>
        <w:t xml:space="preserve"> </w:t>
      </w:r>
      <w:r w:rsidR="003C7376" w:rsidRPr="00AD461C">
        <w:rPr>
          <w:i/>
          <w:spacing w:val="-4"/>
        </w:rPr>
        <w:t>năm 2023, tăng 0,4 điểm phần trăm so với dự báo trong tháng 01/2023.</w:t>
      </w:r>
      <w:r w:rsidR="005F1C25" w:rsidRPr="00AD461C">
        <w:rPr>
          <w:i/>
          <w:spacing w:val="-4"/>
        </w:rPr>
        <w:t xml:space="preserve"> </w:t>
      </w:r>
      <w:r w:rsidR="00550B66" w:rsidRPr="00A75B03">
        <w:rPr>
          <w:i/>
          <w:color w:val="FF0000"/>
          <w:spacing w:val="-4"/>
        </w:rPr>
        <w:t>Báo cáo Triển vọng kinh tế toàn cầu phát hành 21/6/2023 của Fitch Ratings (FR) nhận định tăng trưởng toàn cầu đang cho thấy khả năng phục hồi trong ngắn hạn. Theo đó, FR dự báo tăng trưởng GDP toàn cầu năm 2023 đạt 2,4%, tăng 0,4 điểm phần trăm so với dự báo trong tháng 3/2023.</w:t>
      </w:r>
      <w:r w:rsidR="00550B66">
        <w:rPr>
          <w:i/>
          <w:spacing w:val="-4"/>
        </w:rPr>
        <w:t xml:space="preserve"> </w:t>
      </w:r>
      <w:r w:rsidR="005F1C25" w:rsidRPr="00AD461C">
        <w:rPr>
          <w:i/>
          <w:spacing w:val="-4"/>
        </w:rPr>
        <w:t>Tuy nhiên, Quỹ Tiền tệ Quốc tế (IMF) hạ dự báo tăng trưởng toàn cầu năm 2023, đạt 2,8%, thấp hơn 0,1 điểm phần trăm so với dự báo  tháng 01/2023.</w:t>
      </w:r>
    </w:p>
    <w:p w14:paraId="0A53F1DF" w14:textId="77777777" w:rsidR="006A76A8" w:rsidRPr="00A42EBD" w:rsidRDefault="003C7376" w:rsidP="00060AE9">
      <w:pPr>
        <w:spacing w:before="120" w:after="120" w:line="240" w:lineRule="auto"/>
        <w:ind w:firstLine="720"/>
        <w:jc w:val="both"/>
        <w:rPr>
          <w:i/>
          <w:lang w:val="vi-VN"/>
        </w:rPr>
      </w:pPr>
      <w:r w:rsidRPr="002E581A">
        <w:rPr>
          <w:i/>
          <w:lang w:val="vi-VN"/>
        </w:rPr>
        <w:t xml:space="preserve">Tại khu vực Đông Nam Á, </w:t>
      </w:r>
      <w:r w:rsidR="0047716B" w:rsidRPr="002E581A">
        <w:rPr>
          <w:i/>
        </w:rPr>
        <w:t xml:space="preserve">trong Báo cáo Triển vọng kinh tế châu Á tháng 4/2023, </w:t>
      </w:r>
      <w:r w:rsidRPr="002E581A">
        <w:rPr>
          <w:i/>
        </w:rPr>
        <w:t xml:space="preserve">Ngân hàng Phát triển </w:t>
      </w:r>
      <w:r w:rsidR="00EA053B" w:rsidRPr="002E581A">
        <w:rPr>
          <w:i/>
        </w:rPr>
        <w:t>c</w:t>
      </w:r>
      <w:r w:rsidRPr="002E581A">
        <w:rPr>
          <w:i/>
        </w:rPr>
        <w:t>hâu Á (ADB)</w:t>
      </w:r>
      <w:r w:rsidR="0047716B" w:rsidRPr="002E581A">
        <w:rPr>
          <w:i/>
        </w:rPr>
        <w:t xml:space="preserve"> </w:t>
      </w:r>
      <w:r w:rsidRPr="002E581A">
        <w:rPr>
          <w:i/>
        </w:rPr>
        <w:t>dự báo tăng trưởng năm 2023 của một số quốc</w:t>
      </w:r>
      <w:r w:rsidRPr="00AD461C">
        <w:rPr>
          <w:i/>
        </w:rPr>
        <w:t xml:space="preserve"> gia như sau: </w:t>
      </w:r>
      <w:r w:rsidRPr="00AD461C">
        <w:rPr>
          <w:i/>
          <w:lang w:val="vi-VN"/>
        </w:rPr>
        <w:t>In-đô-nê-xi-a</w:t>
      </w:r>
      <w:r w:rsidRPr="00AD461C">
        <w:rPr>
          <w:i/>
        </w:rPr>
        <w:t xml:space="preserve"> 4,8%, </w:t>
      </w:r>
      <w:r w:rsidRPr="00AD461C">
        <w:rPr>
          <w:i/>
          <w:lang w:val="vi-VN"/>
        </w:rPr>
        <w:t>Ma-lai-xi-a</w:t>
      </w:r>
      <w:r w:rsidRPr="00AD461C">
        <w:rPr>
          <w:i/>
        </w:rPr>
        <w:t xml:space="preserve"> </w:t>
      </w:r>
      <w:r w:rsidR="004C73B9" w:rsidRPr="00AD461C">
        <w:rPr>
          <w:i/>
        </w:rPr>
        <w:t>4,7</w:t>
      </w:r>
      <w:r w:rsidRPr="00AD461C">
        <w:rPr>
          <w:i/>
        </w:rPr>
        <w:t>%, Phi-li-pin 6,0%, Thái Lan 3,3%, Xin-ga-po 2,0% và Việt Nam 6,5%</w:t>
      </w:r>
      <w:r w:rsidR="00A605DC" w:rsidRPr="00AD461C">
        <w:rPr>
          <w:i/>
          <w:lang w:val="vi-VN"/>
        </w:rPr>
        <w:t>.</w:t>
      </w:r>
      <w:r w:rsidR="006B4D7C" w:rsidRPr="00AD461C">
        <w:rPr>
          <w:i/>
        </w:rPr>
        <w:t xml:space="preserve"> </w:t>
      </w:r>
      <w:r w:rsidR="006B4D7C" w:rsidRPr="00D057BD">
        <w:rPr>
          <w:i/>
        </w:rPr>
        <w:t xml:space="preserve">So với dự báo trong tháng 12/2023, ADB giữ nguyên dự báo tăng trưởng cho </w:t>
      </w:r>
      <w:r w:rsidR="006B4D7C" w:rsidRPr="00D057BD">
        <w:rPr>
          <w:i/>
          <w:lang w:val="vi-VN"/>
        </w:rPr>
        <w:t>In-đô-nê-xi-a</w:t>
      </w:r>
      <w:r w:rsidR="006B4D7C" w:rsidRPr="00D057BD">
        <w:rPr>
          <w:i/>
        </w:rPr>
        <w:t xml:space="preserve"> và Phi-li-pin, điều chỉnh tăng cho </w:t>
      </w:r>
      <w:r w:rsidR="006B4D7C" w:rsidRPr="00D057BD">
        <w:rPr>
          <w:i/>
          <w:lang w:val="vi-VN"/>
        </w:rPr>
        <w:t>Ma-lai-xi-a</w:t>
      </w:r>
      <w:r w:rsidR="006B4D7C" w:rsidRPr="00D057BD">
        <w:rPr>
          <w:i/>
        </w:rPr>
        <w:t xml:space="preserve"> và Việt Nam </w:t>
      </w:r>
      <w:r w:rsidR="00142FD0" w:rsidRPr="00D057BD">
        <w:rPr>
          <w:i/>
        </w:rPr>
        <w:t>lần lượt là</w:t>
      </w:r>
      <w:r w:rsidR="006B4D7C" w:rsidRPr="00D057BD">
        <w:rPr>
          <w:i/>
        </w:rPr>
        <w:t xml:space="preserve">  0,4 </w:t>
      </w:r>
      <w:r w:rsidR="00142FD0" w:rsidRPr="00D057BD">
        <w:rPr>
          <w:i/>
        </w:rPr>
        <w:t xml:space="preserve">và 0,2 </w:t>
      </w:r>
      <w:r w:rsidR="006B4D7C" w:rsidRPr="00D057BD">
        <w:rPr>
          <w:i/>
        </w:rPr>
        <w:t>điểm phần trăm</w:t>
      </w:r>
      <w:r w:rsidR="00142FD0" w:rsidRPr="00D057BD">
        <w:rPr>
          <w:i/>
        </w:rPr>
        <w:t>, trong khi đó điều chỉnh giảm lần lượt 0,7 và 0,3 điểm phần trăm đối với dự báo tăng trưởng GDP của Thái Lan và Xin-ga-po.</w:t>
      </w:r>
      <w:r w:rsidR="00142FD0">
        <w:rPr>
          <w:i/>
          <w:color w:val="FF0000"/>
        </w:rPr>
        <w:t xml:space="preserve"> </w:t>
      </w:r>
      <w:r w:rsidR="006B4D7C">
        <w:rPr>
          <w:i/>
          <w:color w:val="FF0000"/>
        </w:rPr>
        <w:t xml:space="preserve"> </w:t>
      </w:r>
    </w:p>
    <w:p w14:paraId="5172ADF6" w14:textId="77777777" w:rsidR="006A76A8" w:rsidRPr="00A42EBD" w:rsidRDefault="006A76A8" w:rsidP="00060AE9">
      <w:pPr>
        <w:spacing w:before="120" w:after="120" w:line="240" w:lineRule="auto"/>
        <w:ind w:firstLine="720"/>
        <w:jc w:val="both"/>
        <w:rPr>
          <w:b/>
          <w:color w:val="000000" w:themeColor="text1"/>
          <w:szCs w:val="28"/>
          <w:lang w:val="vi-VN"/>
        </w:rPr>
      </w:pPr>
      <w:r w:rsidRPr="00A42EBD">
        <w:rPr>
          <w:b/>
          <w:color w:val="000000" w:themeColor="text1"/>
          <w:szCs w:val="28"/>
          <w:lang w:val="vi-VN"/>
        </w:rPr>
        <w:t xml:space="preserve">I. </w:t>
      </w:r>
      <w:r w:rsidR="00EF16D4" w:rsidRPr="00A42EBD">
        <w:rPr>
          <w:b/>
          <w:color w:val="000000" w:themeColor="text1"/>
          <w:szCs w:val="28"/>
          <w:lang w:val="vi-VN"/>
        </w:rPr>
        <w:t xml:space="preserve">DỰ BÁO </w:t>
      </w:r>
      <w:r w:rsidRPr="00A42EBD">
        <w:rPr>
          <w:b/>
          <w:color w:val="000000" w:themeColor="text1"/>
          <w:szCs w:val="28"/>
          <w:lang w:val="vi-VN"/>
        </w:rPr>
        <w:t>KINH TẾ TOÀN CẦU</w:t>
      </w:r>
    </w:p>
    <w:p w14:paraId="378887D1" w14:textId="77777777" w:rsidR="006A76A8" w:rsidRPr="00A42EBD" w:rsidRDefault="006A76A8" w:rsidP="00060AE9">
      <w:pPr>
        <w:spacing w:before="120" w:after="120" w:line="240" w:lineRule="auto"/>
        <w:ind w:firstLine="720"/>
        <w:jc w:val="both"/>
        <w:rPr>
          <w:b/>
          <w:color w:val="000000" w:themeColor="text1"/>
          <w:lang w:val="vi-VN"/>
        </w:rPr>
      </w:pPr>
      <w:r w:rsidRPr="00A42EBD">
        <w:rPr>
          <w:b/>
          <w:color w:val="000000" w:themeColor="text1"/>
          <w:lang w:val="vi-VN"/>
        </w:rPr>
        <w:t xml:space="preserve">1. </w:t>
      </w:r>
      <w:r w:rsidR="00C20465">
        <w:rPr>
          <w:b/>
          <w:color w:val="000000" w:themeColor="text1"/>
        </w:rPr>
        <w:t>Đ</w:t>
      </w:r>
      <w:r w:rsidR="00332F4B" w:rsidRPr="00A42EBD">
        <w:rPr>
          <w:b/>
          <w:color w:val="000000" w:themeColor="text1"/>
          <w:lang w:val="vi-VN"/>
        </w:rPr>
        <w:t xml:space="preserve">a số </w:t>
      </w:r>
      <w:r w:rsidR="00C20465">
        <w:rPr>
          <w:b/>
          <w:color w:val="000000" w:themeColor="text1"/>
        </w:rPr>
        <w:t xml:space="preserve">các tổ chức </w:t>
      </w:r>
      <w:r w:rsidR="00FE4D89" w:rsidRPr="00A42EBD">
        <w:rPr>
          <w:b/>
          <w:color w:val="000000" w:themeColor="text1"/>
          <w:lang w:val="vi-VN"/>
        </w:rPr>
        <w:t>d</w:t>
      </w:r>
      <w:r w:rsidRPr="00A42EBD">
        <w:rPr>
          <w:b/>
          <w:color w:val="000000" w:themeColor="text1"/>
          <w:lang w:val="vi-VN"/>
        </w:rPr>
        <w:t xml:space="preserve">ự báo tăng trưởng </w:t>
      </w:r>
      <w:r w:rsidR="00AF4FAC" w:rsidRPr="00A42EBD">
        <w:rPr>
          <w:b/>
          <w:color w:val="000000" w:themeColor="text1"/>
          <w:lang w:val="vi-VN"/>
        </w:rPr>
        <w:t xml:space="preserve">kinh tế </w:t>
      </w:r>
      <w:r w:rsidRPr="00A42EBD">
        <w:rPr>
          <w:b/>
          <w:color w:val="000000" w:themeColor="text1"/>
          <w:lang w:val="vi-VN"/>
        </w:rPr>
        <w:t xml:space="preserve">toàn cầu </w:t>
      </w:r>
      <w:r w:rsidR="003C7376">
        <w:rPr>
          <w:b/>
          <w:color w:val="000000" w:themeColor="text1"/>
          <w:lang w:val="vi-VN"/>
        </w:rPr>
        <w:t>năm 2023</w:t>
      </w:r>
      <w:r w:rsidR="003C7376">
        <w:rPr>
          <w:b/>
          <w:color w:val="000000" w:themeColor="text1"/>
        </w:rPr>
        <w:t xml:space="preserve"> </w:t>
      </w:r>
      <w:r w:rsidR="00470134">
        <w:rPr>
          <w:b/>
          <w:color w:val="000000" w:themeColor="text1"/>
        </w:rPr>
        <w:t>tăng nhẹ</w:t>
      </w:r>
      <w:r w:rsidR="00BB68D1">
        <w:rPr>
          <w:b/>
          <w:color w:val="000000" w:themeColor="text1"/>
        </w:rPr>
        <w:t xml:space="preserve"> so với dự báo từ đầu năm</w:t>
      </w:r>
      <w:r w:rsidR="00C20465">
        <w:rPr>
          <w:b/>
          <w:color w:val="000000" w:themeColor="text1"/>
        </w:rPr>
        <w:t xml:space="preserve"> </w:t>
      </w:r>
    </w:p>
    <w:p w14:paraId="0BCF216A" w14:textId="77777777" w:rsidR="00EA16C3" w:rsidRPr="00060AE9" w:rsidRDefault="00EA16C3" w:rsidP="00060AE9">
      <w:pPr>
        <w:spacing w:before="120" w:after="120" w:line="240" w:lineRule="auto"/>
        <w:ind w:firstLine="720"/>
        <w:jc w:val="both"/>
        <w:rPr>
          <w:i/>
        </w:rPr>
      </w:pPr>
      <w:r w:rsidRPr="00060AE9">
        <w:rPr>
          <w:i/>
          <w:lang w:val="vi-VN"/>
        </w:rPr>
        <w:t>Ngân hàng Thế giới</w:t>
      </w:r>
      <w:r w:rsidRPr="00060AE9">
        <w:rPr>
          <w:i/>
        </w:rPr>
        <w:t xml:space="preserve"> (WB)</w:t>
      </w:r>
    </w:p>
    <w:p w14:paraId="244193BC" w14:textId="77777777" w:rsidR="00DF2741" w:rsidRDefault="0042517F" w:rsidP="00060AE9">
      <w:pPr>
        <w:spacing w:before="120" w:after="120" w:line="240" w:lineRule="auto"/>
        <w:ind w:firstLine="720"/>
        <w:jc w:val="both"/>
        <w:rPr>
          <w:lang w:val="vi-VN"/>
        </w:rPr>
      </w:pPr>
      <w:r>
        <w:t>Theo b</w:t>
      </w:r>
      <w:r w:rsidR="000C43BD" w:rsidRPr="00A42EBD">
        <w:rPr>
          <w:lang w:val="vi-VN"/>
        </w:rPr>
        <w:t>áo cáo Triển vọng kinh tế toàn cầu tháng 6/2023</w:t>
      </w:r>
      <w:r>
        <w:t>,</w:t>
      </w:r>
      <w:r w:rsidR="000C43BD" w:rsidRPr="00A42EBD">
        <w:rPr>
          <w:lang w:val="vi-VN"/>
        </w:rPr>
        <w:t xml:space="preserve"> Ngân hàng Thế giới</w:t>
      </w:r>
      <w:r w:rsidR="00C20465">
        <w:t xml:space="preserve"> (WB</w:t>
      </w:r>
      <w:r w:rsidR="00084B31">
        <w:t>)</w:t>
      </w:r>
      <w:r w:rsidR="000C43BD" w:rsidRPr="00A42EBD">
        <w:rPr>
          <w:lang w:val="vi-VN"/>
        </w:rPr>
        <w:t xml:space="preserve"> nhận định </w:t>
      </w:r>
      <w:r w:rsidR="00C20465">
        <w:t>n</w:t>
      </w:r>
      <w:r w:rsidR="00C20465" w:rsidRPr="00A42EBD">
        <w:rPr>
          <w:lang w:val="vi-VN"/>
        </w:rPr>
        <w:t xml:space="preserve">ền </w:t>
      </w:r>
      <w:r w:rsidR="000C43BD" w:rsidRPr="00A42EBD">
        <w:rPr>
          <w:lang w:val="vi-VN"/>
        </w:rPr>
        <w:t xml:space="preserve">kinh tế toàn cầu vẫn bấp bênh trong bối cảnh chịu tác động kéo dài của các cú sốc tiêu cực chồng chéo </w:t>
      </w:r>
      <w:r w:rsidR="00C20465">
        <w:t>như</w:t>
      </w:r>
      <w:r w:rsidR="00C20465" w:rsidRPr="00A42EBD">
        <w:rPr>
          <w:lang w:val="vi-VN"/>
        </w:rPr>
        <w:t xml:space="preserve"> </w:t>
      </w:r>
      <w:r w:rsidR="000C43BD" w:rsidRPr="00A42EBD">
        <w:rPr>
          <w:lang w:val="vi-VN"/>
        </w:rPr>
        <w:t>đại dịch</w:t>
      </w:r>
      <w:r>
        <w:t xml:space="preserve"> Covid-19</w:t>
      </w:r>
      <w:r w:rsidR="000C43BD" w:rsidRPr="00A42EBD">
        <w:rPr>
          <w:lang w:val="vi-VN"/>
        </w:rPr>
        <w:t xml:space="preserve">, xung đột giữa Nga và </w:t>
      </w:r>
      <w:r w:rsidR="00C20465">
        <w:t>U-crai-na</w:t>
      </w:r>
      <w:r w:rsidR="00C20465" w:rsidRPr="00A42EBD">
        <w:rPr>
          <w:lang w:val="vi-VN"/>
        </w:rPr>
        <w:t xml:space="preserve"> </w:t>
      </w:r>
      <w:r w:rsidR="000C43BD" w:rsidRPr="00A42EBD">
        <w:rPr>
          <w:lang w:val="vi-VN"/>
        </w:rPr>
        <w:t xml:space="preserve">và chính sách tiền tệ thắt chặt </w:t>
      </w:r>
      <w:r w:rsidR="00C20465">
        <w:t>hơn</w:t>
      </w:r>
      <w:r w:rsidR="000C43BD" w:rsidRPr="00A42EBD">
        <w:rPr>
          <w:lang w:val="vi-VN"/>
        </w:rPr>
        <w:t xml:space="preserve"> để kiềm chế lạm phát. </w:t>
      </w:r>
      <w:r w:rsidR="00471A7C">
        <w:t xml:space="preserve">Những động lực giúp phục hồi kinh tế toàn cầu những tháng đầu năm 2023 dự kiến sẽ suy giảm trong </w:t>
      </w:r>
      <w:r w:rsidR="009478CD">
        <w:t xml:space="preserve">các </w:t>
      </w:r>
      <w:r w:rsidR="00471A7C">
        <w:t>tháng cuối năm</w:t>
      </w:r>
      <w:r w:rsidR="000C43BD" w:rsidRPr="00A42EBD">
        <w:rPr>
          <w:lang w:val="vi-VN"/>
        </w:rPr>
        <w:t>.</w:t>
      </w:r>
      <w:r>
        <w:t xml:space="preserve"> Điều này </w:t>
      </w:r>
      <w:r w:rsidR="00DF2741">
        <w:t>cho thấy</w:t>
      </w:r>
      <w:r w:rsidR="000C43BD" w:rsidRPr="00A42EBD">
        <w:rPr>
          <w:lang w:val="vi-VN"/>
        </w:rPr>
        <w:t xml:space="preserve"> </w:t>
      </w:r>
      <w:r>
        <w:t>h</w:t>
      </w:r>
      <w:r w:rsidR="000C43BD" w:rsidRPr="00A42EBD">
        <w:rPr>
          <w:lang w:val="vi-VN"/>
        </w:rPr>
        <w:t xml:space="preserve">oạt động kinh tế toàn cầu </w:t>
      </w:r>
      <w:r w:rsidR="00C20465">
        <w:t>cả năm 2023</w:t>
      </w:r>
      <w:r>
        <w:t xml:space="preserve"> </w:t>
      </w:r>
      <w:r w:rsidR="000C43BD" w:rsidRPr="00A42EBD">
        <w:rPr>
          <w:lang w:val="vi-VN"/>
        </w:rPr>
        <w:t xml:space="preserve">sẽ chậm lại, </w:t>
      </w:r>
      <w:r w:rsidR="00C20465">
        <w:t>phản ánh</w:t>
      </w:r>
      <w:r w:rsidR="00C20465" w:rsidRPr="00A42EBD">
        <w:rPr>
          <w:lang w:val="vi-VN"/>
        </w:rPr>
        <w:t xml:space="preserve"> </w:t>
      </w:r>
      <w:r w:rsidR="000C43BD" w:rsidRPr="00A42EBD">
        <w:rPr>
          <w:lang w:val="vi-VN"/>
        </w:rPr>
        <w:t xml:space="preserve">sự giảm tốc rõ rệt ở các nền kinh tế phát triển. </w:t>
      </w:r>
    </w:p>
    <w:p w14:paraId="02CD5DEE" w14:textId="77777777" w:rsidR="000C43BD" w:rsidRDefault="00D5680D" w:rsidP="00060AE9">
      <w:pPr>
        <w:spacing w:before="120" w:after="120" w:line="240" w:lineRule="auto"/>
        <w:ind w:firstLine="720"/>
        <w:jc w:val="both"/>
        <w:rPr>
          <w:lang w:val="vi-VN"/>
        </w:rPr>
      </w:pPr>
      <w:r>
        <w:t>T</w:t>
      </w:r>
      <w:r w:rsidR="000C43BD" w:rsidRPr="00A42EBD">
        <w:rPr>
          <w:lang w:val="vi-VN"/>
        </w:rPr>
        <w:t xml:space="preserve">ăng trưởng toàn cầu được dự báo </w:t>
      </w:r>
      <w:r w:rsidR="00DF2741">
        <w:t>đạt</w:t>
      </w:r>
      <w:r w:rsidR="000C43BD" w:rsidRPr="00A42EBD">
        <w:rPr>
          <w:lang w:val="vi-VN"/>
        </w:rPr>
        <w:t xml:space="preserve"> 2,1% trong năm 2023</w:t>
      </w:r>
      <w:r w:rsidR="0042517F">
        <w:t>,</w:t>
      </w:r>
      <w:r w:rsidR="000C43BD" w:rsidRPr="00A42EBD">
        <w:rPr>
          <w:lang w:val="vi-VN"/>
        </w:rPr>
        <w:t xml:space="preserve"> điều chỉnh tăng 0,4 điểm phần trăm so với dự báo trong tháng </w:t>
      </w:r>
      <w:r w:rsidR="009478CD">
        <w:t>0</w:t>
      </w:r>
      <w:r w:rsidR="000C43BD" w:rsidRPr="00A42EBD">
        <w:rPr>
          <w:lang w:val="vi-VN"/>
        </w:rPr>
        <w:t>1/2023. Tuy nhiên, lực cản từ chính sách tiền tệ chặt chẽ hơn đang ngày càng rõ ràng, đặc biệt trong các hoạt động</w:t>
      </w:r>
      <w:r w:rsidR="00084B31">
        <w:t xml:space="preserve"> có yếu tố lãi suất</w:t>
      </w:r>
      <w:r w:rsidR="000C43BD" w:rsidRPr="00A42EBD">
        <w:rPr>
          <w:lang w:val="vi-VN"/>
        </w:rPr>
        <w:t xml:space="preserve"> nhạy cảm hơn như đầu tư kinh doanh và nhà ở, bao gồm </w:t>
      </w:r>
      <w:r w:rsidR="000C43BD" w:rsidRPr="00A42EBD">
        <w:rPr>
          <w:lang w:val="vi-VN"/>
        </w:rPr>
        <w:lastRenderedPageBreak/>
        <w:t xml:space="preserve">cả xây dựng. Tăng trưởng ở các nền kinh tế phát triển được dự báo </w:t>
      </w:r>
      <w:r w:rsidR="00404D13">
        <w:t>đạt</w:t>
      </w:r>
      <w:r w:rsidR="000C43BD" w:rsidRPr="00A42EBD">
        <w:rPr>
          <w:lang w:val="vi-VN"/>
        </w:rPr>
        <w:t xml:space="preserve"> 0,7% do chính sách tiền tệ thắt chặt, điều kiện tín dụng ít thuận lợi hơn, thị trường lao động yếu đi và giá năng lượng vẫn còn cao. </w:t>
      </w:r>
      <w:r w:rsidR="008616C2">
        <w:t>T</w:t>
      </w:r>
      <w:r w:rsidR="008616C2" w:rsidRPr="00A42EBD">
        <w:rPr>
          <w:lang w:val="vi-VN"/>
        </w:rPr>
        <w:t xml:space="preserve">ốc độ tăng trưởng chung </w:t>
      </w:r>
      <w:r w:rsidR="008616C2">
        <w:t xml:space="preserve">năm 2023 của </w:t>
      </w:r>
      <w:r w:rsidR="000C43BD" w:rsidRPr="00A42EBD">
        <w:rPr>
          <w:lang w:val="vi-VN"/>
        </w:rPr>
        <w:t>các nền kinh tế đang phát triển và thị trường mới nổi</w:t>
      </w:r>
      <w:r w:rsidR="00C20465">
        <w:t xml:space="preserve"> </w:t>
      </w:r>
      <w:r w:rsidR="00084B31">
        <w:t xml:space="preserve">dự báo </w:t>
      </w:r>
      <w:r w:rsidR="000C43BD" w:rsidRPr="00A42EBD">
        <w:rPr>
          <w:lang w:val="vi-VN"/>
        </w:rPr>
        <w:t xml:space="preserve">đạt 4% </w:t>
      </w:r>
      <w:r w:rsidR="00404D13">
        <w:t>nhờ</w:t>
      </w:r>
      <w:r w:rsidR="00404D13" w:rsidRPr="00A42EBD">
        <w:rPr>
          <w:lang w:val="vi-VN"/>
        </w:rPr>
        <w:t xml:space="preserve"> </w:t>
      </w:r>
      <w:r w:rsidR="000C43BD" w:rsidRPr="00A42EBD">
        <w:rPr>
          <w:lang w:val="vi-VN"/>
        </w:rPr>
        <w:t xml:space="preserve">phục hồi ở Trung Quốc sau khi dỡ bỏ các hạn chế di chuyển nghiêm ngặt liên quan đến đại dịch. Nếu không tính Trung Quốc, tăng trưởng ở các nền kinh tế đang phát triển và thị trường mới nổi </w:t>
      </w:r>
      <w:r w:rsidR="00084B31">
        <w:t xml:space="preserve">dự báo </w:t>
      </w:r>
      <w:r w:rsidR="000C43BD" w:rsidRPr="00A42EBD">
        <w:rPr>
          <w:lang w:val="vi-VN"/>
        </w:rPr>
        <w:t>chỉ đạt 2,9% trong năm 2023.</w:t>
      </w:r>
    </w:p>
    <w:p w14:paraId="1B9923A4" w14:textId="77777777" w:rsidR="00EA16C3" w:rsidRPr="00060AE9" w:rsidRDefault="00EA16C3" w:rsidP="00060AE9">
      <w:pPr>
        <w:spacing w:before="120" w:after="120" w:line="240" w:lineRule="auto"/>
        <w:ind w:firstLine="720"/>
        <w:jc w:val="both"/>
        <w:rPr>
          <w:i/>
          <w:lang w:val="vi-VN"/>
        </w:rPr>
      </w:pPr>
      <w:r w:rsidRPr="00060AE9">
        <w:rPr>
          <w:i/>
          <w:lang w:val="vi-VN"/>
        </w:rPr>
        <w:t>Tổ chức Hợp tác và Phát triển kinh tế (OECD)</w:t>
      </w:r>
    </w:p>
    <w:p w14:paraId="5CF91C8D" w14:textId="77777777" w:rsidR="00445B95" w:rsidRDefault="006A76A8" w:rsidP="00060AE9">
      <w:pPr>
        <w:spacing w:before="120" w:after="120" w:line="240" w:lineRule="auto"/>
        <w:ind w:firstLine="720"/>
        <w:jc w:val="both"/>
      </w:pPr>
      <w:r w:rsidRPr="00A42EBD">
        <w:rPr>
          <w:lang w:val="vi-VN"/>
        </w:rPr>
        <w:t xml:space="preserve">Trong Báo cáo Triển vọng kinh tế tháng </w:t>
      </w:r>
      <w:r w:rsidR="00C92A65">
        <w:rPr>
          <w:lang w:val="vi-VN"/>
        </w:rPr>
        <w:t>6</w:t>
      </w:r>
      <w:r w:rsidRPr="00A42EBD">
        <w:rPr>
          <w:lang w:val="vi-VN"/>
        </w:rPr>
        <w:t>/202</w:t>
      </w:r>
      <w:r w:rsidR="001F16F0" w:rsidRPr="00A42EBD">
        <w:rPr>
          <w:lang w:val="vi-VN"/>
        </w:rPr>
        <w:t>3</w:t>
      </w:r>
      <w:r w:rsidRPr="00A42EBD">
        <w:rPr>
          <w:lang w:val="vi-VN"/>
        </w:rPr>
        <w:t xml:space="preserve">, </w:t>
      </w:r>
      <w:r w:rsidR="001F16F0" w:rsidRPr="00A42EBD">
        <w:rPr>
          <w:lang w:val="vi-VN"/>
        </w:rPr>
        <w:t>Tổ chức Hợp tác và Phát triển kinh tế (</w:t>
      </w:r>
      <w:r w:rsidRPr="00A42EBD">
        <w:rPr>
          <w:lang w:val="vi-VN"/>
        </w:rPr>
        <w:t>OECD</w:t>
      </w:r>
      <w:r w:rsidR="001F16F0" w:rsidRPr="00A42EBD">
        <w:rPr>
          <w:lang w:val="vi-VN"/>
        </w:rPr>
        <w:t>)</w:t>
      </w:r>
      <w:r w:rsidR="002568C4">
        <w:t xml:space="preserve"> nhận định</w:t>
      </w:r>
      <w:r w:rsidR="00445B95">
        <w:t>,</w:t>
      </w:r>
      <w:r w:rsidR="00711CB2" w:rsidRPr="00A42EBD">
        <w:rPr>
          <w:lang w:val="vi-VN"/>
        </w:rPr>
        <w:t xml:space="preserve"> </w:t>
      </w:r>
      <w:r w:rsidR="00445B95">
        <w:t>m</w:t>
      </w:r>
      <w:r w:rsidR="00445B95" w:rsidRPr="00445B95">
        <w:rPr>
          <w:lang w:val="vi-VN"/>
        </w:rPr>
        <w:t xml:space="preserve">ặc dù đã có những dấu hiệu cải thiện trong những tháng đầu năm, nhưng triển vọng </w:t>
      </w:r>
      <w:r w:rsidR="00445B95">
        <w:t>kinh tế toàn cầu vẫn yếu</w:t>
      </w:r>
      <w:r w:rsidR="00445B95" w:rsidRPr="00445B95">
        <w:rPr>
          <w:lang w:val="vi-VN"/>
        </w:rPr>
        <w:t xml:space="preserve"> và lạm phát kéo dài trong bối cảnh rủi ro nghiêm trọng.</w:t>
      </w:r>
      <w:r w:rsidR="00445B95">
        <w:t xml:space="preserve"> </w:t>
      </w:r>
      <w:r w:rsidR="00445B95" w:rsidRPr="00445B95">
        <w:t xml:space="preserve">Tăng trưởng </w:t>
      </w:r>
      <w:r w:rsidR="00084B31">
        <w:t>kinh tế</w:t>
      </w:r>
      <w:r w:rsidR="00445B95" w:rsidRPr="00445B95">
        <w:t xml:space="preserve"> toàn cầu năm 2023 được dự báo </w:t>
      </w:r>
      <w:r w:rsidR="002568C4">
        <w:t>đạt</w:t>
      </w:r>
      <w:r w:rsidR="002568C4" w:rsidRPr="00445B95">
        <w:t xml:space="preserve"> </w:t>
      </w:r>
      <w:r w:rsidR="00445B95" w:rsidRPr="00445B95">
        <w:t>2,7%</w:t>
      </w:r>
      <w:r w:rsidR="00445B95">
        <w:t>,</w:t>
      </w:r>
      <w:r w:rsidR="00445B95" w:rsidRPr="00445B95">
        <w:t xml:space="preserve"> tốc độ thấp nhất kể từ cuộc khủng hoảng tài chính toàn cầu</w:t>
      </w:r>
      <w:r w:rsidR="00084B31">
        <w:t xml:space="preserve"> </w:t>
      </w:r>
      <w:r w:rsidR="00084B31" w:rsidRPr="008C1407">
        <w:t>năm</w:t>
      </w:r>
      <w:r w:rsidR="006B4D7C" w:rsidRPr="008C1407">
        <w:t xml:space="preserve"> 2008</w:t>
      </w:r>
      <w:r w:rsidR="00445B95" w:rsidRPr="00D057BD">
        <w:t>, trừ</w:t>
      </w:r>
      <w:r w:rsidR="00445B95" w:rsidRPr="00445B95">
        <w:t xml:space="preserve"> năm 2020 do đại dịch</w:t>
      </w:r>
      <w:r w:rsidR="001F319A">
        <w:t xml:space="preserve"> Covid-19</w:t>
      </w:r>
      <w:r w:rsidR="00445B95" w:rsidRPr="00445B95">
        <w:t xml:space="preserve"> hoành hành. Tăng trưởng của </w:t>
      </w:r>
      <w:r w:rsidR="00445B95">
        <w:t xml:space="preserve">các quốc gia </w:t>
      </w:r>
      <w:r w:rsidR="00445B95" w:rsidRPr="00445B95">
        <w:t xml:space="preserve">OECD được dự </w:t>
      </w:r>
      <w:r w:rsidR="00445B95">
        <w:t>báo</w:t>
      </w:r>
      <w:r w:rsidR="00445B95" w:rsidRPr="00445B95">
        <w:t xml:space="preserve"> </w:t>
      </w:r>
      <w:r w:rsidR="00404D13">
        <w:t xml:space="preserve">đạt </w:t>
      </w:r>
      <w:r w:rsidR="00445B95" w:rsidRPr="00445B95">
        <w:t>1,4% trong năm 2023</w:t>
      </w:r>
      <w:r w:rsidR="00D53CCB">
        <w:t xml:space="preserve"> </w:t>
      </w:r>
      <w:r w:rsidR="00445B95" w:rsidRPr="00445B95">
        <w:t xml:space="preserve">khi lạm phát </w:t>
      </w:r>
      <w:r w:rsidR="00C72CFB">
        <w:t xml:space="preserve">tăng </w:t>
      </w:r>
      <w:r w:rsidR="00445B95" w:rsidRPr="00445B95">
        <w:t>vừa phải và tăng trưởng thu nhập thực tế tăng lên</w:t>
      </w:r>
      <w:r w:rsidR="00D53CCB">
        <w:t xml:space="preserve">. </w:t>
      </w:r>
      <w:r w:rsidR="00D53CCB" w:rsidRPr="00D53CCB">
        <w:t>Đầu tư kinh doanh dự kiến sẽ đình trệ ở khu vực OECD</w:t>
      </w:r>
      <w:r w:rsidR="00C72CFB">
        <w:t>,</w:t>
      </w:r>
      <w:r w:rsidR="00D53CCB" w:rsidRPr="00D53CCB">
        <w:t xml:space="preserve"> đầu tư nhà ở dự kiến sẽ giảm ở nhiều nền kinh tế. Tăng trưởng GDP </w:t>
      </w:r>
      <w:r w:rsidR="00404D13">
        <w:t>chung</w:t>
      </w:r>
      <w:r w:rsidR="00D53CCB" w:rsidRPr="00D53CCB">
        <w:t xml:space="preserve"> được duy trì nhờ sự gia tăng ổn định trong tiêu dùng cá nhân và chi tiêu cuối cùng của chính phủ</w:t>
      </w:r>
      <w:r w:rsidR="00D53CCB">
        <w:t xml:space="preserve">. </w:t>
      </w:r>
      <w:r w:rsidR="00D53CCB" w:rsidRPr="00D53CCB">
        <w:t>Bất kỳ cú sốc tiêu cực nào đối với tâm lý hoặ</w:t>
      </w:r>
      <w:r w:rsidR="00D53CCB">
        <w:t xml:space="preserve">c </w:t>
      </w:r>
      <w:r w:rsidR="00D5680D">
        <w:t>thu nhập</w:t>
      </w:r>
      <w:r w:rsidR="00D53CCB">
        <w:t xml:space="preserve"> </w:t>
      </w:r>
      <w:r w:rsidR="00D53CCB" w:rsidRPr="00D53CCB">
        <w:t>của hộ gia đình, hoặc sự phát triển kém của thị trường lao động, sẽ dẫn đến tăng trưởng yếu hơn</w:t>
      </w:r>
      <w:r w:rsidR="00D53CCB">
        <w:t xml:space="preserve"> trong tương lai.</w:t>
      </w:r>
    </w:p>
    <w:p w14:paraId="5BC93320" w14:textId="77777777" w:rsidR="00EA16C3" w:rsidRPr="00060AE9" w:rsidRDefault="00EA16C3" w:rsidP="00060AE9">
      <w:pPr>
        <w:spacing w:before="120" w:after="120" w:line="240" w:lineRule="auto"/>
        <w:ind w:firstLine="720"/>
        <w:jc w:val="both"/>
        <w:rPr>
          <w:i/>
        </w:rPr>
      </w:pPr>
      <w:r w:rsidRPr="00060AE9">
        <w:rPr>
          <w:i/>
        </w:rPr>
        <w:t>Liên hợp quốc (</w:t>
      </w:r>
      <w:r w:rsidRPr="00060AE9">
        <w:rPr>
          <w:i/>
          <w:lang w:val="vi-VN"/>
        </w:rPr>
        <w:t>UNDESA</w:t>
      </w:r>
      <w:r w:rsidRPr="00060AE9">
        <w:rPr>
          <w:i/>
        </w:rPr>
        <w:t>)</w:t>
      </w:r>
    </w:p>
    <w:p w14:paraId="50BB2DAA" w14:textId="77777777" w:rsidR="00A761CE" w:rsidRDefault="0017716B" w:rsidP="00060AE9">
      <w:pPr>
        <w:spacing w:before="120" w:after="120" w:line="240" w:lineRule="auto"/>
        <w:ind w:firstLine="720"/>
        <w:jc w:val="both"/>
      </w:pPr>
      <w:r w:rsidRPr="00A42EBD">
        <w:rPr>
          <w:lang w:val="vi-VN"/>
        </w:rPr>
        <w:t>Trong</w:t>
      </w:r>
      <w:r w:rsidR="00093F80" w:rsidRPr="00A42EBD">
        <w:rPr>
          <w:lang w:val="vi-VN"/>
        </w:rPr>
        <w:t xml:space="preserve"> báo cáo Tình hình và triển vọng kinh tế thế giới </w:t>
      </w:r>
      <w:r w:rsidR="006B14F9">
        <w:t>giữa năm 2023</w:t>
      </w:r>
      <w:r w:rsidR="00093F80" w:rsidRPr="00A42EBD">
        <w:rPr>
          <w:lang w:val="vi-VN"/>
        </w:rPr>
        <w:t xml:space="preserve">, </w:t>
      </w:r>
      <w:r w:rsidR="00A761CE">
        <w:t>Liên hợp quốc (</w:t>
      </w:r>
      <w:r w:rsidR="000713BD" w:rsidRPr="00A42EBD">
        <w:rPr>
          <w:lang w:val="vi-VN"/>
        </w:rPr>
        <w:t>UNDESA</w:t>
      </w:r>
      <w:r w:rsidR="00A761CE">
        <w:t>)</w:t>
      </w:r>
      <w:r w:rsidR="000713BD" w:rsidRPr="00A42EBD">
        <w:rPr>
          <w:lang w:val="vi-VN"/>
        </w:rPr>
        <w:t xml:space="preserve"> </w:t>
      </w:r>
      <w:r w:rsidR="008616C2">
        <w:t>cho rằng</w:t>
      </w:r>
      <w:r w:rsidR="00A761CE">
        <w:t xml:space="preserve"> </w:t>
      </w:r>
      <w:r w:rsidR="00C72CFB">
        <w:t xml:space="preserve">những </w:t>
      </w:r>
      <w:r w:rsidR="002568C4">
        <w:t>bất ổn</w:t>
      </w:r>
      <w:r w:rsidR="00A761CE" w:rsidRPr="00A761CE">
        <w:t xml:space="preserve"> và triển vọng tăng trưởng yếu tiếp tục </w:t>
      </w:r>
      <w:r w:rsidR="00404D13">
        <w:t xml:space="preserve">tác động đến </w:t>
      </w:r>
      <w:r w:rsidR="00A761CE" w:rsidRPr="00A761CE">
        <w:t>nền kinh tế thế giới. Sự kết hợp của các yếu tố</w:t>
      </w:r>
      <w:r w:rsidR="00A761CE">
        <w:t xml:space="preserve"> như</w:t>
      </w:r>
      <w:r w:rsidR="00A761CE" w:rsidRPr="00A761CE">
        <w:t xml:space="preserve"> đại dịch Covid-19, </w:t>
      </w:r>
      <w:r w:rsidR="00A761CE">
        <w:t xml:space="preserve">xung đột </w:t>
      </w:r>
      <w:r w:rsidR="00A761CE" w:rsidRPr="00A761CE">
        <w:t xml:space="preserve">kéo dài ở </w:t>
      </w:r>
      <w:r w:rsidR="002568C4">
        <w:t>U-crai-na</w:t>
      </w:r>
      <w:r w:rsidR="00A761CE" w:rsidRPr="00A761CE">
        <w:t xml:space="preserve">, tác động ngày càng tồi tệ của biến đổi khí hậu đã </w:t>
      </w:r>
      <w:r w:rsidR="00A761CE">
        <w:t xml:space="preserve">khiến </w:t>
      </w:r>
      <w:r w:rsidR="00A761CE" w:rsidRPr="00A761CE">
        <w:t xml:space="preserve">nhiều quốc gia </w:t>
      </w:r>
      <w:r w:rsidR="00A761CE">
        <w:t xml:space="preserve">đối mặt với suy giảm tăng trưởng. </w:t>
      </w:r>
      <w:r w:rsidR="00D5680D">
        <w:t>T</w:t>
      </w:r>
      <w:r w:rsidR="00A761CE" w:rsidRPr="00A761CE">
        <w:t xml:space="preserve">ốc độ tăng trưởng toàn cầu </w:t>
      </w:r>
      <w:r w:rsidR="00A761CE">
        <w:t xml:space="preserve">năm 2023 được </w:t>
      </w:r>
      <w:r w:rsidR="002568C4" w:rsidRPr="00A42EBD">
        <w:rPr>
          <w:lang w:val="vi-VN"/>
        </w:rPr>
        <w:t>UNDESA</w:t>
      </w:r>
      <w:r w:rsidR="002568C4">
        <w:t xml:space="preserve"> </w:t>
      </w:r>
      <w:r w:rsidR="00A761CE">
        <w:t xml:space="preserve">dự báo </w:t>
      </w:r>
      <w:r w:rsidR="00C72CFB">
        <w:t>đạt</w:t>
      </w:r>
      <w:r w:rsidR="00A761CE">
        <w:t xml:space="preserve"> </w:t>
      </w:r>
      <w:r w:rsidR="00A761CE" w:rsidRPr="00A761CE">
        <w:t>2,3%</w:t>
      </w:r>
      <w:r w:rsidR="00A761CE">
        <w:t xml:space="preserve">, tăng 0,4 điểm phần trăm so với dự báo trong tháng </w:t>
      </w:r>
      <w:r w:rsidR="00E07139">
        <w:t>02</w:t>
      </w:r>
      <w:r w:rsidR="00A761CE">
        <w:t xml:space="preserve">/2023, </w:t>
      </w:r>
      <w:r w:rsidR="00A761CE" w:rsidRPr="00A761CE">
        <w:t xml:space="preserve">chủ yếu </w:t>
      </w:r>
      <w:r w:rsidR="00C72CFB">
        <w:t>nhờ</w:t>
      </w:r>
      <w:r w:rsidR="00A761CE" w:rsidRPr="00A761CE">
        <w:t xml:space="preserve"> chi tiêu hộ gia đình tăng ở các nền kinh tế lớn, đặc biệt là ở Hoa Kỳ và Liên minh </w:t>
      </w:r>
      <w:r w:rsidR="00E07139">
        <w:t>c</w:t>
      </w:r>
      <w:r w:rsidR="00E07139" w:rsidRPr="00A761CE">
        <w:t xml:space="preserve">hâu </w:t>
      </w:r>
      <w:r w:rsidR="00A761CE" w:rsidRPr="00A761CE">
        <w:t xml:space="preserve">Âu, cũng như phục hồi </w:t>
      </w:r>
      <w:r w:rsidR="00D5680D">
        <w:t xml:space="preserve">kinh tế </w:t>
      </w:r>
      <w:r w:rsidR="00A761CE" w:rsidRPr="00A761CE">
        <w:t>ở Trung Quốc</w:t>
      </w:r>
      <w:r w:rsidR="00A761CE">
        <w:t>.</w:t>
      </w:r>
    </w:p>
    <w:p w14:paraId="37D3A0D5" w14:textId="77777777" w:rsidR="00550B66" w:rsidRPr="00A75B03" w:rsidRDefault="00550B66" w:rsidP="00060AE9">
      <w:pPr>
        <w:spacing w:before="120" w:after="120" w:line="240" w:lineRule="auto"/>
        <w:ind w:firstLine="720"/>
        <w:jc w:val="both"/>
        <w:rPr>
          <w:i/>
          <w:color w:val="FF0000"/>
        </w:rPr>
      </w:pPr>
      <w:r w:rsidRPr="00A75B03">
        <w:rPr>
          <w:i/>
          <w:color w:val="FF0000"/>
        </w:rPr>
        <w:t>Fitch Ratings (FR)</w:t>
      </w:r>
    </w:p>
    <w:p w14:paraId="4CCDEF8F" w14:textId="72300126" w:rsidR="00550B66" w:rsidRPr="00A75B03" w:rsidRDefault="00550B66" w:rsidP="00550B66">
      <w:pPr>
        <w:spacing w:before="120" w:after="120" w:line="240" w:lineRule="auto"/>
        <w:ind w:firstLine="720"/>
        <w:jc w:val="both"/>
        <w:rPr>
          <w:color w:val="FF0000"/>
        </w:rPr>
      </w:pPr>
      <w:r w:rsidRPr="00A75B03">
        <w:rPr>
          <w:color w:val="FF0000"/>
        </w:rPr>
        <w:t>Báo cáo Triển vọng kinh tế toàn cầu phát hành 21/6/2023 của Fitch Ratings (FR) nhận định tăng trưởng toàn cầu đang cho thấy khả năng phục hồi trong ngắn hạn. Theo đó, FR dự báo tăng trưởng GDP toàn cầu năm 2023 đạt 2,4%, tăng 0,4 điểm phần trăm so với dự báo trong tháng 3/2023. Tuy nhiên</w:t>
      </w:r>
      <w:r w:rsidR="00BC1410" w:rsidRPr="00A75B03">
        <w:rPr>
          <w:color w:val="FF0000"/>
        </w:rPr>
        <w:t>, do</w:t>
      </w:r>
      <w:r w:rsidRPr="00A75B03">
        <w:rPr>
          <w:color w:val="FF0000"/>
        </w:rPr>
        <w:t xml:space="preserve"> lạm phát cơ bản vẫn ở mức cao </w:t>
      </w:r>
      <w:r w:rsidR="00BC1410" w:rsidRPr="00A75B03">
        <w:rPr>
          <w:color w:val="FF0000"/>
        </w:rPr>
        <w:t xml:space="preserve">nên </w:t>
      </w:r>
      <w:r w:rsidRPr="00A75B03">
        <w:rPr>
          <w:color w:val="FF0000"/>
        </w:rPr>
        <w:t xml:space="preserve">các ngân hàng trung ương sẽ phải tiếp tục thắt chặt chính sách trong những tháng tới. </w:t>
      </w:r>
    </w:p>
    <w:p w14:paraId="136C152C" w14:textId="422C630A" w:rsidR="00550B66" w:rsidRPr="00A75B03" w:rsidRDefault="00550B66" w:rsidP="00550B66">
      <w:pPr>
        <w:spacing w:before="120" w:after="120" w:line="240" w:lineRule="auto"/>
        <w:ind w:firstLine="720"/>
        <w:jc w:val="both"/>
        <w:rPr>
          <w:color w:val="FF0000"/>
        </w:rPr>
      </w:pPr>
      <w:r w:rsidRPr="00A75B03">
        <w:rPr>
          <w:color w:val="FF0000"/>
        </w:rPr>
        <w:t xml:space="preserve">Các quốc gia đang phát triển và thị trường mới nổi (trừ Trung Quốc) cho thấy triển vọng tăng trưởng mạnh mẽ, dự báo tăng 0,9 điểm phần trăm lên mức 2,9% trong năm 2023. Kinh tế Trung Quốc mở cửa trở lại nhanh hơn dự kiến trong Quý I/2023 khiến dự báo của quốc gia này được điều chỉnh tăng 0,4 điểm phần </w:t>
      </w:r>
      <w:r w:rsidRPr="00A75B03">
        <w:rPr>
          <w:color w:val="FF0000"/>
        </w:rPr>
        <w:lastRenderedPageBreak/>
        <w:t>trăm so với dự báo trong tháng 3/2023</w:t>
      </w:r>
      <w:r w:rsidR="004735CB">
        <w:rPr>
          <w:color w:val="FF0000"/>
        </w:rPr>
        <w:t>,</w:t>
      </w:r>
      <w:r w:rsidRPr="00A75B03">
        <w:rPr>
          <w:color w:val="FF0000"/>
        </w:rPr>
        <w:t xml:space="preserve"> đạt 5,6% trong năm 202</w:t>
      </w:r>
      <w:r w:rsidR="00701E28" w:rsidRPr="00A75B03">
        <w:rPr>
          <w:color w:val="FF0000"/>
        </w:rPr>
        <w:t>3</w:t>
      </w:r>
      <w:r w:rsidRPr="00A75B03">
        <w:rPr>
          <w:color w:val="FF0000"/>
        </w:rPr>
        <w:t xml:space="preserve">. FR cũng nâng dự báo tăng trưởng của Hoa Kỳ cho năm 2023 từ 1,0% lên 1,2% do tăng trưởng tiêu dùng và việc làm vẫn mạnh mẽ. </w:t>
      </w:r>
      <w:r w:rsidR="004735CB">
        <w:rPr>
          <w:color w:val="FF0000"/>
        </w:rPr>
        <w:t>T</w:t>
      </w:r>
      <w:r w:rsidRPr="00A75B03">
        <w:rPr>
          <w:color w:val="FF0000"/>
        </w:rPr>
        <w:t>hắt chặt chính sách của Cục dự trữ Liên bang (Fed) sẽ đẩy nền kinh tế vào suy thoái nhẹ vào Quý IV/2023</w:t>
      </w:r>
      <w:r w:rsidR="00BC1410" w:rsidRPr="00A75B03">
        <w:rPr>
          <w:color w:val="FF0000"/>
        </w:rPr>
        <w:t xml:space="preserve"> và </w:t>
      </w:r>
      <w:r w:rsidRPr="00A75B03">
        <w:rPr>
          <w:color w:val="FF0000"/>
        </w:rPr>
        <w:t xml:space="preserve">Quý I/2024. Dự báo tăng trưởng của Eurozone cho năm 2023 không đổi ở mức 0,8%. </w:t>
      </w:r>
      <w:r w:rsidR="00BC1410" w:rsidRPr="00A75B03">
        <w:rPr>
          <w:color w:val="FF0000"/>
        </w:rPr>
        <w:t>K</w:t>
      </w:r>
      <w:r w:rsidRPr="00A75B03">
        <w:rPr>
          <w:color w:val="FF0000"/>
        </w:rPr>
        <w:t>hủng hoảng khí đốt tự nhiên ở châu Âu đã giảm bớt nhưng Ngân hàng trung ương châu Âu (ECB) đang thắt chặt chính sách tiền tệ mạnh mẽ hơn.</w:t>
      </w:r>
    </w:p>
    <w:p w14:paraId="3474F2C1" w14:textId="77777777" w:rsidR="00EA16C3" w:rsidRPr="00060AE9" w:rsidRDefault="00EA16C3" w:rsidP="00060AE9">
      <w:pPr>
        <w:spacing w:before="120" w:after="120" w:line="240" w:lineRule="auto"/>
        <w:ind w:firstLine="720"/>
        <w:jc w:val="both"/>
        <w:rPr>
          <w:i/>
          <w:lang w:val="vi-VN"/>
        </w:rPr>
      </w:pPr>
      <w:r w:rsidRPr="00060AE9">
        <w:rPr>
          <w:i/>
          <w:color w:val="000000" w:themeColor="text1"/>
          <w:lang w:val="vi-VN"/>
        </w:rPr>
        <w:t>Quỹ Tiền tệ Quốc tế (IMF)</w:t>
      </w:r>
    </w:p>
    <w:p w14:paraId="0591B1AE" w14:textId="77777777" w:rsidR="00C72CFB" w:rsidRDefault="00C72CFB" w:rsidP="00060AE9">
      <w:pPr>
        <w:spacing w:before="120" w:after="120" w:line="240" w:lineRule="auto"/>
        <w:ind w:firstLine="720"/>
        <w:jc w:val="both"/>
        <w:rPr>
          <w:color w:val="000000" w:themeColor="text1"/>
        </w:rPr>
      </w:pPr>
      <w:r w:rsidRPr="00A42EBD">
        <w:rPr>
          <w:lang w:val="vi-VN"/>
        </w:rPr>
        <w:t xml:space="preserve">Theo </w:t>
      </w:r>
      <w:r>
        <w:t>b</w:t>
      </w:r>
      <w:r w:rsidRPr="00A42EBD">
        <w:rPr>
          <w:lang w:val="vi-VN"/>
        </w:rPr>
        <w:t xml:space="preserve">áo cáo Triển vọng kinh tế thế giới tháng 4/2023 của </w:t>
      </w:r>
      <w:r w:rsidRPr="00A42EBD">
        <w:rPr>
          <w:color w:val="000000" w:themeColor="text1"/>
          <w:lang w:val="vi-VN"/>
        </w:rPr>
        <w:t xml:space="preserve">Quỹ Tiền tệ Quốc tế (IMF), nền kinh tế toàn cầu một lần nữa lại ở thời điểm vô cùng bất định, </w:t>
      </w:r>
      <w:r>
        <w:rPr>
          <w:color w:val="000000" w:themeColor="text1"/>
        </w:rPr>
        <w:t>do</w:t>
      </w:r>
      <w:r w:rsidRPr="00A42EBD">
        <w:rPr>
          <w:color w:val="000000" w:themeColor="text1"/>
          <w:lang w:val="vi-VN"/>
        </w:rPr>
        <w:t xml:space="preserve"> tác động </w:t>
      </w:r>
      <w:r>
        <w:rPr>
          <w:color w:val="000000" w:themeColor="text1"/>
        </w:rPr>
        <w:t>cộng dồn</w:t>
      </w:r>
      <w:r w:rsidRPr="00A42EBD">
        <w:rPr>
          <w:color w:val="000000" w:themeColor="text1"/>
          <w:lang w:val="vi-VN"/>
        </w:rPr>
        <w:t xml:space="preserve"> của những cú sốc bất lợi như đại dịch Covid-19 và xung đột </w:t>
      </w:r>
      <w:r w:rsidRPr="00A42EBD">
        <w:rPr>
          <w:lang w:val="vi-VN"/>
        </w:rPr>
        <w:t xml:space="preserve">giữa Nga vào </w:t>
      </w:r>
      <w:r>
        <w:t>U-crai-na</w:t>
      </w:r>
      <w:r w:rsidRPr="00A42EBD">
        <w:rPr>
          <w:color w:val="000000" w:themeColor="text1"/>
          <w:lang w:val="vi-VN"/>
        </w:rPr>
        <w:t xml:space="preserve"> trong ba năm qua. </w:t>
      </w:r>
      <w:r>
        <w:rPr>
          <w:color w:val="000000" w:themeColor="text1"/>
        </w:rPr>
        <w:t>N</w:t>
      </w:r>
      <w:r w:rsidRPr="00A42EBD">
        <w:rPr>
          <w:color w:val="000000" w:themeColor="text1"/>
          <w:lang w:val="vi-VN"/>
        </w:rPr>
        <w:t xml:space="preserve">hu cầu bị dồn nén, gián đoạn nguồn cung kéo dài và giá cả hàng hóa tăng đột biến, lạm phát đã đạt mức cao nhất trong nhiều thập kỷ vào năm 2022, khiến các ngân hàng trung ương phải thắt chặt </w:t>
      </w:r>
      <w:r>
        <w:rPr>
          <w:color w:val="000000" w:themeColor="text1"/>
        </w:rPr>
        <w:t xml:space="preserve">chính sách </w:t>
      </w:r>
      <w:r w:rsidRPr="00A42EBD">
        <w:rPr>
          <w:color w:val="000000" w:themeColor="text1"/>
          <w:lang w:val="vi-VN"/>
        </w:rPr>
        <w:t>tiền tệ để đưa lạm phát trở lại mục tiêu và giữ cho kỳ vọng lạm phát ở mức cố định. Sự sụp đổ bất ngờ của hai ngân hàng ở Hoa Kỳ vào giữ</w:t>
      </w:r>
      <w:r>
        <w:rPr>
          <w:color w:val="000000" w:themeColor="text1"/>
          <w:lang w:val="vi-VN"/>
        </w:rPr>
        <w:t>a tháng 3/</w:t>
      </w:r>
      <w:r w:rsidRPr="00A42EBD">
        <w:rPr>
          <w:color w:val="000000" w:themeColor="text1"/>
          <w:lang w:val="vi-VN"/>
        </w:rPr>
        <w:t xml:space="preserve">2023 và </w:t>
      </w:r>
      <w:r>
        <w:rPr>
          <w:color w:val="000000" w:themeColor="text1"/>
        </w:rPr>
        <w:t>mất</w:t>
      </w:r>
      <w:r w:rsidRPr="00A42EBD">
        <w:rPr>
          <w:color w:val="000000" w:themeColor="text1"/>
          <w:lang w:val="vi-VN"/>
        </w:rPr>
        <w:t xml:space="preserve"> niềm tin vào</w:t>
      </w:r>
      <w:r>
        <w:rPr>
          <w:color w:val="000000" w:themeColor="text1"/>
        </w:rPr>
        <w:t xml:space="preserve"> ngân hàng</w:t>
      </w:r>
      <w:r w:rsidRPr="00A42EBD">
        <w:rPr>
          <w:color w:val="000000" w:themeColor="text1"/>
          <w:lang w:val="vi-VN"/>
        </w:rPr>
        <w:t xml:space="preserve"> Credit Suisse</w:t>
      </w:r>
      <w:r>
        <w:rPr>
          <w:color w:val="000000" w:themeColor="text1"/>
        </w:rPr>
        <w:t xml:space="preserve">, </w:t>
      </w:r>
      <w:r w:rsidRPr="00A42EBD">
        <w:rPr>
          <w:color w:val="000000" w:themeColor="text1"/>
          <w:lang w:val="vi-VN"/>
        </w:rPr>
        <w:t>một ngân hàng có tầm quan trọng toàn cầu</w:t>
      </w:r>
      <w:r>
        <w:rPr>
          <w:color w:val="000000" w:themeColor="text1"/>
        </w:rPr>
        <w:t>, khiến</w:t>
      </w:r>
      <w:r w:rsidRPr="00A42EBD">
        <w:rPr>
          <w:color w:val="000000" w:themeColor="text1"/>
          <w:lang w:val="vi-VN"/>
        </w:rPr>
        <w:t xml:space="preserve"> thị trường tài chính</w:t>
      </w:r>
      <w:r>
        <w:rPr>
          <w:color w:val="000000" w:themeColor="text1"/>
        </w:rPr>
        <w:t xml:space="preserve"> chao đảo khi </w:t>
      </w:r>
      <w:r w:rsidRPr="00A42EBD">
        <w:rPr>
          <w:color w:val="000000" w:themeColor="text1"/>
          <w:lang w:val="vi-VN"/>
        </w:rPr>
        <w:t xml:space="preserve">những người gửi tiền vào ngân hàng và các nhà đầu tư đánh giá lại mức độ an toàn của các tài sản </w:t>
      </w:r>
      <w:r>
        <w:rPr>
          <w:color w:val="000000" w:themeColor="text1"/>
        </w:rPr>
        <w:t>đang</w:t>
      </w:r>
      <w:r w:rsidRPr="00A42EBD">
        <w:rPr>
          <w:color w:val="000000" w:themeColor="text1"/>
          <w:lang w:val="vi-VN"/>
        </w:rPr>
        <w:t xml:space="preserve"> nắm giữ và chuyển hướng </w:t>
      </w:r>
      <w:r>
        <w:rPr>
          <w:color w:val="000000" w:themeColor="text1"/>
        </w:rPr>
        <w:t>khỏi</w:t>
      </w:r>
      <w:r w:rsidRPr="00A42EBD">
        <w:rPr>
          <w:color w:val="000000" w:themeColor="text1"/>
          <w:lang w:val="vi-VN"/>
        </w:rPr>
        <w:t xml:space="preserve"> các tổ chức và </w:t>
      </w:r>
      <w:r>
        <w:rPr>
          <w:color w:val="000000" w:themeColor="text1"/>
        </w:rPr>
        <w:t xml:space="preserve">quỹ </w:t>
      </w:r>
      <w:r w:rsidRPr="00A42EBD">
        <w:rPr>
          <w:color w:val="000000" w:themeColor="text1"/>
          <w:lang w:val="vi-VN"/>
        </w:rPr>
        <w:t xml:space="preserve">đầu tư được </w:t>
      </w:r>
      <w:r>
        <w:rPr>
          <w:color w:val="000000" w:themeColor="text1"/>
        </w:rPr>
        <w:t>cho</w:t>
      </w:r>
      <w:r w:rsidRPr="00A42EBD">
        <w:rPr>
          <w:color w:val="000000" w:themeColor="text1"/>
          <w:lang w:val="vi-VN"/>
        </w:rPr>
        <w:t xml:space="preserve"> là dễ bị tổn thương.</w:t>
      </w:r>
      <w:r>
        <w:rPr>
          <w:color w:val="000000" w:themeColor="text1"/>
        </w:rPr>
        <w:t xml:space="preserve"> </w:t>
      </w:r>
    </w:p>
    <w:p w14:paraId="415A1257" w14:textId="77777777" w:rsidR="00C72CFB" w:rsidRPr="00A42EBD" w:rsidRDefault="00C72CFB" w:rsidP="00060AE9">
      <w:pPr>
        <w:spacing w:before="120" w:after="120" w:line="240" w:lineRule="auto"/>
        <w:ind w:firstLine="720"/>
        <w:jc w:val="both"/>
        <w:rPr>
          <w:color w:val="000000" w:themeColor="text1"/>
        </w:rPr>
      </w:pPr>
      <w:r>
        <w:rPr>
          <w:color w:val="000000" w:themeColor="text1"/>
        </w:rPr>
        <w:t xml:space="preserve">Theo IMF, </w:t>
      </w:r>
      <w:r w:rsidRPr="00A42EBD">
        <w:rPr>
          <w:color w:val="000000" w:themeColor="text1"/>
        </w:rPr>
        <w:t xml:space="preserve">so với dự </w:t>
      </w:r>
      <w:r>
        <w:rPr>
          <w:color w:val="000000" w:themeColor="text1"/>
        </w:rPr>
        <w:t xml:space="preserve">báo trong </w:t>
      </w:r>
      <w:r w:rsidRPr="00A42EBD">
        <w:rPr>
          <w:color w:val="000000" w:themeColor="text1"/>
        </w:rPr>
        <w:t xml:space="preserve">tháng </w:t>
      </w:r>
      <w:r>
        <w:rPr>
          <w:color w:val="000000" w:themeColor="text1"/>
        </w:rPr>
        <w:t>0</w:t>
      </w:r>
      <w:r w:rsidRPr="00A42EBD">
        <w:rPr>
          <w:color w:val="000000" w:themeColor="text1"/>
        </w:rPr>
        <w:t>1</w:t>
      </w:r>
      <w:r>
        <w:rPr>
          <w:color w:val="000000" w:themeColor="text1"/>
        </w:rPr>
        <w:t>/</w:t>
      </w:r>
      <w:r w:rsidRPr="00A42EBD">
        <w:rPr>
          <w:color w:val="000000" w:themeColor="text1"/>
        </w:rPr>
        <w:t>2023</w:t>
      </w:r>
      <w:r>
        <w:rPr>
          <w:color w:val="000000" w:themeColor="text1"/>
        </w:rPr>
        <w:t xml:space="preserve">, </w:t>
      </w:r>
      <w:r w:rsidRPr="00A42EBD">
        <w:rPr>
          <w:color w:val="000000" w:themeColor="text1"/>
        </w:rPr>
        <w:t>tăng trưởng toàn cầu</w:t>
      </w:r>
      <w:r>
        <w:rPr>
          <w:color w:val="000000" w:themeColor="text1"/>
        </w:rPr>
        <w:t xml:space="preserve"> </w:t>
      </w:r>
      <w:r w:rsidRPr="00A42EBD">
        <w:rPr>
          <w:color w:val="000000" w:themeColor="text1"/>
        </w:rPr>
        <w:t xml:space="preserve">năm 2023 </w:t>
      </w:r>
      <w:r>
        <w:rPr>
          <w:color w:val="000000" w:themeColor="text1"/>
        </w:rPr>
        <w:t>dự báo</w:t>
      </w:r>
      <w:r w:rsidRPr="00A42EBD">
        <w:rPr>
          <w:color w:val="000000" w:themeColor="text1"/>
        </w:rPr>
        <w:t xml:space="preserve"> đạt 2,8%, thấp hơn 0,1 điểm phần trăm</w:t>
      </w:r>
      <w:r>
        <w:rPr>
          <w:color w:val="000000" w:themeColor="text1"/>
        </w:rPr>
        <w:t>. T</w:t>
      </w:r>
      <w:r w:rsidRPr="00A42EBD">
        <w:rPr>
          <w:color w:val="000000" w:themeColor="text1"/>
        </w:rPr>
        <w:t xml:space="preserve">ốc độ tăng trưởng </w:t>
      </w:r>
      <w:r>
        <w:rPr>
          <w:color w:val="000000" w:themeColor="text1"/>
        </w:rPr>
        <w:t xml:space="preserve">của </w:t>
      </w:r>
      <w:r w:rsidRPr="00A42EBD">
        <w:rPr>
          <w:color w:val="000000" w:themeColor="text1"/>
        </w:rPr>
        <w:t xml:space="preserve">các nền kinh tế phát triển dự kiến </w:t>
      </w:r>
      <w:r>
        <w:rPr>
          <w:color w:val="000000" w:themeColor="text1"/>
        </w:rPr>
        <w:t xml:space="preserve">đạt </w:t>
      </w:r>
      <w:r w:rsidRPr="00A42EBD">
        <w:rPr>
          <w:color w:val="000000" w:themeColor="text1"/>
        </w:rPr>
        <w:t>1,3%</w:t>
      </w:r>
      <w:r>
        <w:rPr>
          <w:color w:val="000000" w:themeColor="text1"/>
        </w:rPr>
        <w:t xml:space="preserve"> năm 2023, </w:t>
      </w:r>
      <w:r w:rsidRPr="00A42EBD">
        <w:rPr>
          <w:color w:val="000000" w:themeColor="text1"/>
        </w:rPr>
        <w:t xml:space="preserve">cao hơn 0,1 điểm phần trăm. Khoảng 90% các nền kinh tế phát triển được dự </w:t>
      </w:r>
      <w:r>
        <w:rPr>
          <w:color w:val="000000" w:themeColor="text1"/>
        </w:rPr>
        <w:t>báo</w:t>
      </w:r>
      <w:r w:rsidRPr="00A42EBD">
        <w:rPr>
          <w:color w:val="000000" w:themeColor="text1"/>
        </w:rPr>
        <w:t xml:space="preserve"> sẽ suy giảm tăng trưởng </w:t>
      </w:r>
      <w:r>
        <w:rPr>
          <w:color w:val="000000" w:themeColor="text1"/>
        </w:rPr>
        <w:t>trong</w:t>
      </w:r>
      <w:r w:rsidRPr="00A42EBD">
        <w:rPr>
          <w:color w:val="000000" w:themeColor="text1"/>
        </w:rPr>
        <w:t xml:space="preserve"> năm 2023</w:t>
      </w:r>
      <w:r>
        <w:rPr>
          <w:color w:val="000000" w:themeColor="text1"/>
        </w:rPr>
        <w:t xml:space="preserve">. </w:t>
      </w:r>
      <w:r w:rsidRPr="001F120E">
        <w:rPr>
          <w:color w:val="000000" w:themeColor="text1"/>
        </w:rPr>
        <w:t xml:space="preserve">Đối với các nền kinh tế mới nổi và đang phát triển, triển vọng kinh tế mạnh hơn so với các nền kinh tế phát triển, nhưng </w:t>
      </w:r>
      <w:r>
        <w:rPr>
          <w:color w:val="000000" w:themeColor="text1"/>
        </w:rPr>
        <w:t>không đồng đều ở các khu vực.</w:t>
      </w:r>
      <w:r w:rsidRPr="001F120E">
        <w:rPr>
          <w:color w:val="000000" w:themeColor="text1"/>
        </w:rPr>
        <w:t xml:space="preserve"> Trung bình, mức tăng trưởng </w:t>
      </w:r>
      <w:r>
        <w:rPr>
          <w:color w:val="000000" w:themeColor="text1"/>
        </w:rPr>
        <w:t xml:space="preserve">của các nền kinh tế này </w:t>
      </w:r>
      <w:r w:rsidR="00D5680D">
        <w:rPr>
          <w:color w:val="000000" w:themeColor="text1"/>
        </w:rPr>
        <w:t>đạt</w:t>
      </w:r>
      <w:r w:rsidRPr="001F120E">
        <w:rPr>
          <w:color w:val="000000" w:themeColor="text1"/>
        </w:rPr>
        <w:t xml:space="preserve"> 3,9% vào năm 2023</w:t>
      </w:r>
      <w:r>
        <w:rPr>
          <w:color w:val="000000" w:themeColor="text1"/>
        </w:rPr>
        <w:t xml:space="preserve">, </w:t>
      </w:r>
      <w:r w:rsidRPr="001F120E">
        <w:rPr>
          <w:color w:val="000000" w:themeColor="text1"/>
        </w:rPr>
        <w:t>thấp hơn 0,1 điểm phần trăm</w:t>
      </w:r>
      <w:r>
        <w:rPr>
          <w:color w:val="000000" w:themeColor="text1"/>
        </w:rPr>
        <w:t xml:space="preserve"> </w:t>
      </w:r>
      <w:r w:rsidRPr="001F120E">
        <w:rPr>
          <w:color w:val="000000" w:themeColor="text1"/>
        </w:rPr>
        <w:t xml:space="preserve">so với </w:t>
      </w:r>
      <w:r>
        <w:rPr>
          <w:color w:val="000000" w:themeColor="text1"/>
        </w:rPr>
        <w:t xml:space="preserve">dự báo trong </w:t>
      </w:r>
      <w:r w:rsidRPr="001F120E">
        <w:rPr>
          <w:color w:val="000000" w:themeColor="text1"/>
        </w:rPr>
        <w:t xml:space="preserve">tháng </w:t>
      </w:r>
      <w:r>
        <w:rPr>
          <w:color w:val="000000" w:themeColor="text1"/>
        </w:rPr>
        <w:t>0</w:t>
      </w:r>
      <w:r w:rsidRPr="001F120E">
        <w:rPr>
          <w:color w:val="000000" w:themeColor="text1"/>
        </w:rPr>
        <w:t>1</w:t>
      </w:r>
      <w:r>
        <w:rPr>
          <w:color w:val="000000" w:themeColor="text1"/>
        </w:rPr>
        <w:t>/</w:t>
      </w:r>
      <w:r w:rsidRPr="001F120E">
        <w:rPr>
          <w:color w:val="000000" w:themeColor="text1"/>
        </w:rPr>
        <w:t>2023</w:t>
      </w:r>
      <w:r>
        <w:rPr>
          <w:color w:val="000000" w:themeColor="text1"/>
        </w:rPr>
        <w:t>.</w:t>
      </w:r>
    </w:p>
    <w:p w14:paraId="377E5AF0" w14:textId="32BE9A73" w:rsidR="003D4765" w:rsidRPr="00A75B03" w:rsidRDefault="006A76A8" w:rsidP="00A75B03">
      <w:pPr>
        <w:spacing w:after="0" w:line="240" w:lineRule="auto"/>
        <w:ind w:firstLine="720"/>
        <w:jc w:val="center"/>
        <w:rPr>
          <w:b/>
          <w:color w:val="FF0000"/>
          <w:lang w:val="vi-VN"/>
        </w:rPr>
      </w:pPr>
      <w:r w:rsidRPr="00A75B03">
        <w:rPr>
          <w:b/>
          <w:color w:val="FF0000"/>
          <w:lang w:val="vi-VN"/>
        </w:rPr>
        <w:t xml:space="preserve">Hình 1. </w:t>
      </w:r>
      <w:r w:rsidR="00DE117E" w:rsidRPr="00A75B03">
        <w:rPr>
          <w:b/>
          <w:color w:val="FF0000"/>
        </w:rPr>
        <w:t>Đánh giá</w:t>
      </w:r>
      <w:r w:rsidRPr="00A75B03">
        <w:rPr>
          <w:b/>
          <w:color w:val="FF0000"/>
          <w:lang w:val="vi-VN"/>
        </w:rPr>
        <w:t xml:space="preserve"> tăng trưởng toàn cầu năm </w:t>
      </w:r>
      <w:r w:rsidR="002B7CE5" w:rsidRPr="00A75B03">
        <w:rPr>
          <w:b/>
          <w:color w:val="FF0000"/>
          <w:lang w:val="vi-VN"/>
        </w:rPr>
        <w:t xml:space="preserve">2022 </w:t>
      </w:r>
      <w:r w:rsidRPr="00A75B03">
        <w:rPr>
          <w:b/>
          <w:color w:val="FF0000"/>
          <w:lang w:val="vi-VN"/>
        </w:rPr>
        <w:t xml:space="preserve">và </w:t>
      </w:r>
      <w:r w:rsidR="003D4765" w:rsidRPr="00A75B03">
        <w:rPr>
          <w:b/>
          <w:color w:val="FF0000"/>
        </w:rPr>
        <w:t xml:space="preserve">dự báo </w:t>
      </w:r>
      <w:r w:rsidRPr="00A75B03">
        <w:rPr>
          <w:b/>
          <w:color w:val="FF0000"/>
          <w:lang w:val="vi-VN"/>
        </w:rPr>
        <w:t>202</w:t>
      </w:r>
      <w:r w:rsidR="002B7CE5" w:rsidRPr="00A75B03">
        <w:rPr>
          <w:b/>
          <w:color w:val="FF0000"/>
          <w:lang w:val="vi-VN"/>
        </w:rPr>
        <w:t>3</w:t>
      </w:r>
    </w:p>
    <w:p w14:paraId="05738009" w14:textId="77777777" w:rsidR="006A76A8" w:rsidRPr="00A75B03" w:rsidRDefault="006A76A8" w:rsidP="002E581A">
      <w:pPr>
        <w:spacing w:after="0" w:line="240" w:lineRule="auto"/>
        <w:ind w:firstLine="720"/>
        <w:jc w:val="center"/>
        <w:rPr>
          <w:b/>
          <w:color w:val="FF0000"/>
          <w:lang w:val="vi-VN"/>
        </w:rPr>
      </w:pPr>
      <w:r w:rsidRPr="00A75B03">
        <w:rPr>
          <w:b/>
          <w:color w:val="FF0000"/>
          <w:lang w:val="vi-VN"/>
        </w:rPr>
        <w:t>của các tổ chức quốc tế</w:t>
      </w:r>
    </w:p>
    <w:p w14:paraId="10724375" w14:textId="40EDF4EE" w:rsidR="004735CB" w:rsidRDefault="004735CB" w:rsidP="00A75B03">
      <w:pPr>
        <w:spacing w:before="120" w:after="120" w:line="240" w:lineRule="auto"/>
        <w:ind w:firstLine="720"/>
        <w:jc w:val="center"/>
        <w:rPr>
          <w:i/>
          <w:color w:val="000000" w:themeColor="text1"/>
          <w:sz w:val="24"/>
          <w:szCs w:val="24"/>
          <w:highlight w:val="yellow"/>
          <w:lang w:val="vi-VN"/>
        </w:rPr>
      </w:pPr>
      <w:r>
        <w:rPr>
          <w:noProof/>
        </w:rPr>
        <w:drawing>
          <wp:inline distT="0" distB="0" distL="0" distR="0" wp14:anchorId="03DA3471" wp14:editId="627C3588">
            <wp:extent cx="3986784" cy="220154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7B0CBF" w14:textId="1EDC9CA6" w:rsidR="006A76A8" w:rsidRPr="00A75B03" w:rsidRDefault="003C7376" w:rsidP="00A75B03">
      <w:pPr>
        <w:spacing w:before="240" w:after="0" w:line="240" w:lineRule="auto"/>
        <w:ind w:firstLine="720"/>
        <w:jc w:val="both"/>
        <w:rPr>
          <w:i/>
          <w:color w:val="FF0000"/>
          <w:sz w:val="24"/>
          <w:szCs w:val="24"/>
        </w:rPr>
      </w:pPr>
      <w:r w:rsidRPr="00A75B03">
        <w:rPr>
          <w:i/>
          <w:color w:val="FF0000"/>
          <w:sz w:val="24"/>
          <w:szCs w:val="24"/>
          <w:lang w:val="vi-VN"/>
        </w:rPr>
        <w:t xml:space="preserve">Nguồn: </w:t>
      </w:r>
      <w:r w:rsidRPr="00A75B03">
        <w:rPr>
          <w:i/>
          <w:color w:val="FF0000"/>
          <w:sz w:val="24"/>
          <w:szCs w:val="24"/>
        </w:rPr>
        <w:t>WB</w:t>
      </w:r>
      <w:r w:rsidRPr="00A75B03">
        <w:rPr>
          <w:i/>
          <w:color w:val="FF0000"/>
          <w:sz w:val="24"/>
          <w:szCs w:val="24"/>
          <w:lang w:val="vi-VN"/>
        </w:rPr>
        <w:t xml:space="preserve">, </w:t>
      </w:r>
      <w:r w:rsidRPr="00A75B03">
        <w:rPr>
          <w:i/>
          <w:color w:val="FF0000"/>
          <w:sz w:val="24"/>
          <w:szCs w:val="24"/>
        </w:rPr>
        <w:t>IMF</w:t>
      </w:r>
      <w:r w:rsidRPr="00A75B03">
        <w:rPr>
          <w:i/>
          <w:color w:val="FF0000"/>
          <w:sz w:val="24"/>
          <w:szCs w:val="24"/>
          <w:lang w:val="vi-VN"/>
        </w:rPr>
        <w:t xml:space="preserve">, </w:t>
      </w:r>
      <w:r w:rsidR="008B614F" w:rsidRPr="00A75B03">
        <w:rPr>
          <w:i/>
          <w:color w:val="FF0000"/>
          <w:sz w:val="24"/>
          <w:szCs w:val="24"/>
          <w:lang w:val="vi-VN"/>
        </w:rPr>
        <w:t>OECD</w:t>
      </w:r>
      <w:r w:rsidR="008B614F" w:rsidRPr="00A75B03">
        <w:rPr>
          <w:i/>
          <w:color w:val="FF0000"/>
          <w:sz w:val="24"/>
          <w:szCs w:val="24"/>
        </w:rPr>
        <w:t xml:space="preserve">, </w:t>
      </w:r>
      <w:r w:rsidRPr="00A75B03">
        <w:rPr>
          <w:i/>
          <w:color w:val="FF0000"/>
          <w:sz w:val="24"/>
          <w:szCs w:val="24"/>
          <w:lang w:val="vi-VN"/>
        </w:rPr>
        <w:t>UNDESA</w:t>
      </w:r>
      <w:r w:rsidR="008B614F" w:rsidRPr="00A75B03">
        <w:rPr>
          <w:i/>
          <w:color w:val="FF0000"/>
          <w:sz w:val="24"/>
          <w:szCs w:val="24"/>
        </w:rPr>
        <w:t xml:space="preserve"> và FR</w:t>
      </w:r>
    </w:p>
    <w:p w14:paraId="4E9094B6" w14:textId="77777777" w:rsidR="004735CB" w:rsidRDefault="004735CB" w:rsidP="00060AE9">
      <w:pPr>
        <w:spacing w:before="120" w:after="120" w:line="240" w:lineRule="auto"/>
        <w:ind w:firstLine="720"/>
        <w:jc w:val="both"/>
        <w:rPr>
          <w:b/>
          <w:color w:val="000000" w:themeColor="text1"/>
          <w:lang w:val="vi-VN"/>
        </w:rPr>
      </w:pPr>
    </w:p>
    <w:p w14:paraId="7EA4BA9F" w14:textId="0D7EA51A" w:rsidR="006A76A8" w:rsidRPr="00A42EBD" w:rsidRDefault="006A76A8" w:rsidP="00060AE9">
      <w:pPr>
        <w:spacing w:before="120" w:after="120" w:line="240" w:lineRule="auto"/>
        <w:ind w:firstLine="720"/>
        <w:jc w:val="both"/>
        <w:rPr>
          <w:b/>
          <w:color w:val="000000" w:themeColor="text1"/>
          <w:lang w:val="vi-VN"/>
        </w:rPr>
      </w:pPr>
      <w:r w:rsidRPr="00A42EBD">
        <w:rPr>
          <w:b/>
          <w:color w:val="000000" w:themeColor="text1"/>
          <w:lang w:val="vi-VN"/>
        </w:rPr>
        <w:t xml:space="preserve">2. Tổng quan biến động thị trường thế giới </w:t>
      </w:r>
    </w:p>
    <w:p w14:paraId="109871A8" w14:textId="77777777" w:rsidR="006A76A8" w:rsidRPr="006C061F" w:rsidRDefault="006A76A8" w:rsidP="00060AE9">
      <w:pPr>
        <w:spacing w:before="120" w:after="120" w:line="240" w:lineRule="auto"/>
        <w:ind w:firstLine="720"/>
        <w:jc w:val="both"/>
        <w:rPr>
          <w:b/>
          <w:i/>
          <w:color w:val="000000" w:themeColor="text1"/>
        </w:rPr>
      </w:pPr>
      <w:r w:rsidRPr="00A42EBD">
        <w:rPr>
          <w:b/>
          <w:i/>
          <w:color w:val="000000" w:themeColor="text1"/>
          <w:lang w:val="vi-VN"/>
        </w:rPr>
        <w:t>Thương mại hàng hóa toàn cầu suy giảm trong năm 202</w:t>
      </w:r>
      <w:r w:rsidR="006C061F">
        <w:rPr>
          <w:b/>
          <w:i/>
          <w:color w:val="000000" w:themeColor="text1"/>
        </w:rPr>
        <w:t>3</w:t>
      </w:r>
    </w:p>
    <w:p w14:paraId="434CF24D" w14:textId="77777777" w:rsidR="00727B79" w:rsidRDefault="00C72CFB" w:rsidP="00060AE9">
      <w:pPr>
        <w:spacing w:before="120" w:after="120" w:line="240" w:lineRule="auto"/>
        <w:ind w:firstLine="720"/>
        <w:jc w:val="both"/>
        <w:rPr>
          <w:color w:val="000000" w:themeColor="text1"/>
          <w:spacing w:val="-2"/>
          <w:lang w:val="vi-VN"/>
        </w:rPr>
      </w:pPr>
      <w:r>
        <w:t xml:space="preserve">Theo </w:t>
      </w:r>
      <w:r w:rsidR="00727B79">
        <w:t>báo cáo Triển vọng và thống kê thương mại toàn cầu xuất bản tháng 4/2023, Tổ chức Thương mại Thế giới (WTO) nhận định khối lượng thương mại hàng hóa thế giới tăng trưởng 1,7% trong năm 2023, theo sau đà sụt giảm trong Quý IV/2022. Triển vọng của nền kinh tế toàn cầu đã được cải thiện, nhưng tốc độ mở rộng thương mại năm 2023 dự kiến vẫn ở mức dưới trung bình</w:t>
      </w:r>
      <w:r w:rsidR="00E07139">
        <w:t xml:space="preserve"> do</w:t>
      </w:r>
      <w:r w:rsidR="00727B79">
        <w:t xml:space="preserve"> bị ảnh hưởng nặng</w:t>
      </w:r>
      <w:r w:rsidR="00E07139">
        <w:t xml:space="preserve"> nề</w:t>
      </w:r>
      <w:r w:rsidR="00727B79">
        <w:t xml:space="preserve"> bởi xung đột ở </w:t>
      </w:r>
      <w:r w:rsidR="00E07139">
        <w:t>U-crai-na</w:t>
      </w:r>
      <w:r w:rsidR="00727B79">
        <w:t xml:space="preserve">, lạm phát cao dai dẳng, chính sách tiền tệ thắt chặt hơn và </w:t>
      </w:r>
      <w:r w:rsidR="00E07139">
        <w:t>bất ổn</w:t>
      </w:r>
      <w:r w:rsidR="00727B79">
        <w:t xml:space="preserve"> tài chính.</w:t>
      </w:r>
    </w:p>
    <w:p w14:paraId="79F85D9E" w14:textId="77777777" w:rsidR="00590AD3" w:rsidRPr="00590AD3" w:rsidRDefault="0000215D" w:rsidP="00060AE9">
      <w:pPr>
        <w:spacing w:before="120" w:after="120" w:line="240" w:lineRule="auto"/>
        <w:ind w:firstLine="720"/>
        <w:jc w:val="both"/>
        <w:rPr>
          <w:color w:val="000000" w:themeColor="text1"/>
          <w:spacing w:val="-2"/>
        </w:rPr>
      </w:pPr>
      <w:r w:rsidRPr="00A42EBD">
        <w:rPr>
          <w:color w:val="000000" w:themeColor="text1"/>
          <w:spacing w:val="-2"/>
          <w:lang w:val="vi-VN"/>
        </w:rPr>
        <w:t>Theo s</w:t>
      </w:r>
      <w:r w:rsidR="00E151C1" w:rsidRPr="00A42EBD">
        <w:rPr>
          <w:color w:val="000000" w:themeColor="text1"/>
          <w:spacing w:val="-2"/>
          <w:lang w:val="vi-VN"/>
        </w:rPr>
        <w:t xml:space="preserve">ố liệu </w:t>
      </w:r>
      <w:r w:rsidR="00E07139">
        <w:rPr>
          <w:color w:val="000000" w:themeColor="text1"/>
          <w:spacing w:val="-2"/>
        </w:rPr>
        <w:t>công bố</w:t>
      </w:r>
      <w:r w:rsidR="00590AD3">
        <w:rPr>
          <w:color w:val="000000" w:themeColor="text1"/>
          <w:spacing w:val="-2"/>
        </w:rPr>
        <w:t xml:space="preserve"> ngày 30/5/2023, </w:t>
      </w:r>
      <w:r w:rsidR="006A76A8" w:rsidRPr="00A42EBD">
        <w:rPr>
          <w:color w:val="000000" w:themeColor="text1"/>
          <w:spacing w:val="-2"/>
          <w:lang w:val="vi-VN"/>
        </w:rPr>
        <w:t xml:space="preserve">Thước đo thương mại hàng hóa của </w:t>
      </w:r>
      <w:r w:rsidR="00590AD3">
        <w:rPr>
          <w:color w:val="000000" w:themeColor="text1"/>
          <w:spacing w:val="-2"/>
          <w:lang w:val="vi-VN"/>
        </w:rPr>
        <w:t>WTO</w:t>
      </w:r>
      <w:r w:rsidR="003B4CA2" w:rsidRPr="00A42EBD">
        <w:rPr>
          <w:color w:val="000000" w:themeColor="text1"/>
          <w:spacing w:val="-2"/>
          <w:lang w:val="vi-VN"/>
        </w:rPr>
        <w:t xml:space="preserve"> </w:t>
      </w:r>
      <w:r w:rsidR="00E151C1" w:rsidRPr="00A42EBD">
        <w:rPr>
          <w:color w:val="000000" w:themeColor="text1"/>
          <w:spacing w:val="-2"/>
          <w:lang w:val="vi-VN"/>
        </w:rPr>
        <w:t>đạt</w:t>
      </w:r>
      <w:r w:rsidR="00590AD3">
        <w:rPr>
          <w:color w:val="000000" w:themeColor="text1"/>
          <w:spacing w:val="-2"/>
          <w:lang w:val="vi-VN"/>
        </w:rPr>
        <w:t xml:space="preserve"> 95,6</w:t>
      </w:r>
      <w:r w:rsidR="00590AD3">
        <w:rPr>
          <w:color w:val="000000" w:themeColor="text1"/>
          <w:spacing w:val="-2"/>
        </w:rPr>
        <w:t xml:space="preserve">, </w:t>
      </w:r>
      <w:r w:rsidR="00647268">
        <w:rPr>
          <w:color w:val="000000" w:themeColor="text1"/>
          <w:spacing w:val="-2"/>
        </w:rPr>
        <w:t>cao hơn</w:t>
      </w:r>
      <w:r w:rsidR="00647268" w:rsidRPr="00590AD3">
        <w:rPr>
          <w:color w:val="000000" w:themeColor="text1"/>
          <w:spacing w:val="-2"/>
          <w:lang w:val="vi-VN"/>
        </w:rPr>
        <w:t xml:space="preserve"> </w:t>
      </w:r>
      <w:r w:rsidR="00590AD3">
        <w:rPr>
          <w:color w:val="000000" w:themeColor="text1"/>
          <w:spacing w:val="-2"/>
        </w:rPr>
        <w:t xml:space="preserve">so với mức </w:t>
      </w:r>
      <w:r w:rsidR="00590AD3" w:rsidRPr="00590AD3">
        <w:rPr>
          <w:color w:val="000000" w:themeColor="text1"/>
          <w:spacing w:val="-2"/>
          <w:lang w:val="vi-VN"/>
        </w:rPr>
        <w:t xml:space="preserve">92,2 </w:t>
      </w:r>
      <w:r w:rsidR="00590AD3">
        <w:rPr>
          <w:color w:val="000000" w:themeColor="text1"/>
          <w:spacing w:val="-2"/>
        </w:rPr>
        <w:t xml:space="preserve">trong </w:t>
      </w:r>
      <w:r w:rsidR="00590AD3" w:rsidRPr="00590AD3">
        <w:rPr>
          <w:color w:val="000000" w:themeColor="text1"/>
          <w:spacing w:val="-2"/>
          <w:lang w:val="vi-VN"/>
        </w:rPr>
        <w:t>tháng 3</w:t>
      </w:r>
      <w:r w:rsidR="00590AD3">
        <w:rPr>
          <w:color w:val="000000" w:themeColor="text1"/>
          <w:spacing w:val="-2"/>
        </w:rPr>
        <w:t>/2023</w:t>
      </w:r>
      <w:r w:rsidR="00647268">
        <w:rPr>
          <w:color w:val="000000" w:themeColor="text1"/>
          <w:spacing w:val="-2"/>
        </w:rPr>
        <w:t xml:space="preserve"> nhưng</w:t>
      </w:r>
      <w:r w:rsidR="00590AD3">
        <w:rPr>
          <w:color w:val="000000" w:themeColor="text1"/>
          <w:spacing w:val="-2"/>
        </w:rPr>
        <w:t xml:space="preserve"> </w:t>
      </w:r>
      <w:r w:rsidR="00590AD3" w:rsidRPr="00590AD3">
        <w:rPr>
          <w:color w:val="000000" w:themeColor="text1"/>
          <w:spacing w:val="-2"/>
          <w:lang w:val="vi-VN"/>
        </w:rPr>
        <w:t xml:space="preserve">vẫn thấp hơn giá trị cơ bản 100. Tuy nhiên, các tín hiệu hỗn hợp trong các chỉ số thành phần của </w:t>
      </w:r>
      <w:r w:rsidR="00590AD3">
        <w:rPr>
          <w:color w:val="000000" w:themeColor="text1"/>
          <w:spacing w:val="-2"/>
        </w:rPr>
        <w:t>Thước đo</w:t>
      </w:r>
      <w:r w:rsidR="00590AD3" w:rsidRPr="00590AD3">
        <w:rPr>
          <w:color w:val="000000" w:themeColor="text1"/>
          <w:spacing w:val="-2"/>
          <w:lang w:val="vi-VN"/>
        </w:rPr>
        <w:t xml:space="preserve"> cho thấy con đường phục hồi thương mại có thể gập ghềnh.</w:t>
      </w:r>
      <w:r w:rsidR="00590AD3">
        <w:rPr>
          <w:color w:val="000000" w:themeColor="text1"/>
          <w:spacing w:val="-2"/>
        </w:rPr>
        <w:t xml:space="preserve"> </w:t>
      </w:r>
      <w:r w:rsidR="00265ADC">
        <w:rPr>
          <w:color w:val="000000" w:themeColor="text1"/>
          <w:spacing w:val="-2"/>
        </w:rPr>
        <w:t>Cụ thể, c</w:t>
      </w:r>
      <w:r w:rsidR="00590AD3" w:rsidRPr="00590AD3">
        <w:rPr>
          <w:color w:val="000000" w:themeColor="text1"/>
          <w:spacing w:val="-2"/>
        </w:rPr>
        <w:t xml:space="preserve">hỉ số sản phẩm ô tô (110,8) tăng vững chắc nhờ doanh số bán hàng mạnh mẽ ở Hoa Kỳ và </w:t>
      </w:r>
      <w:r w:rsidR="00E07139">
        <w:rPr>
          <w:color w:val="000000" w:themeColor="text1"/>
          <w:spacing w:val="-2"/>
        </w:rPr>
        <w:t>c</w:t>
      </w:r>
      <w:r w:rsidR="00E07139" w:rsidRPr="00590AD3">
        <w:rPr>
          <w:color w:val="000000" w:themeColor="text1"/>
          <w:spacing w:val="-2"/>
        </w:rPr>
        <w:t xml:space="preserve">hâu </w:t>
      </w:r>
      <w:r w:rsidR="00590AD3" w:rsidRPr="00590AD3">
        <w:rPr>
          <w:color w:val="000000" w:themeColor="text1"/>
          <w:spacing w:val="-2"/>
        </w:rPr>
        <w:t xml:space="preserve">Âu. Chỉ số đơn hàng xuất khẩu (102,7) cũng </w:t>
      </w:r>
      <w:r w:rsidR="00590AD3">
        <w:rPr>
          <w:color w:val="000000" w:themeColor="text1"/>
          <w:spacing w:val="-2"/>
        </w:rPr>
        <w:t xml:space="preserve">tăng trên mức cơ sở mặc dù xung đột tại </w:t>
      </w:r>
      <w:r w:rsidR="00E07139">
        <w:rPr>
          <w:color w:val="000000" w:themeColor="text1"/>
          <w:spacing w:val="-2"/>
        </w:rPr>
        <w:t xml:space="preserve">U-crai-na </w:t>
      </w:r>
      <w:r w:rsidR="00590AD3">
        <w:rPr>
          <w:color w:val="000000" w:themeColor="text1"/>
          <w:spacing w:val="-2"/>
        </w:rPr>
        <w:t>vẫn tiếp diễn</w:t>
      </w:r>
      <w:r w:rsidR="00590AD3" w:rsidRPr="00590AD3">
        <w:rPr>
          <w:color w:val="000000" w:themeColor="text1"/>
          <w:spacing w:val="-2"/>
        </w:rPr>
        <w:t>. Ngược lại, các chỉ số</w:t>
      </w:r>
      <w:r w:rsidR="00265ADC">
        <w:rPr>
          <w:color w:val="000000" w:themeColor="text1"/>
          <w:spacing w:val="-2"/>
        </w:rPr>
        <w:t xml:space="preserve"> thấp</w:t>
      </w:r>
      <w:r w:rsidR="00590AD3" w:rsidRPr="00590AD3">
        <w:rPr>
          <w:color w:val="000000" w:themeColor="text1"/>
          <w:spacing w:val="-2"/>
        </w:rPr>
        <w:t xml:space="preserve"> </w:t>
      </w:r>
      <w:r w:rsidR="00265ADC">
        <w:rPr>
          <w:color w:val="000000" w:themeColor="text1"/>
          <w:spacing w:val="-2"/>
        </w:rPr>
        <w:t xml:space="preserve">như </w:t>
      </w:r>
      <w:r w:rsidR="00590AD3" w:rsidRPr="00590AD3">
        <w:rPr>
          <w:color w:val="000000" w:themeColor="text1"/>
          <w:spacing w:val="-2"/>
        </w:rPr>
        <w:t xml:space="preserve">vận tải container (89,4), vận tải hàng không (93,5) và linh kiện điện tử (85,2) </w:t>
      </w:r>
      <w:r w:rsidR="00590AD3">
        <w:rPr>
          <w:color w:val="000000" w:themeColor="text1"/>
          <w:spacing w:val="-2"/>
        </w:rPr>
        <w:t xml:space="preserve">cho thấy </w:t>
      </w:r>
      <w:r w:rsidR="00590AD3" w:rsidRPr="00590AD3">
        <w:rPr>
          <w:color w:val="000000" w:themeColor="text1"/>
          <w:spacing w:val="-2"/>
        </w:rPr>
        <w:t xml:space="preserve">tín hiệu suy yếu. Trong khi đó, chỉ số nguyên vật liệu (99,0) </w:t>
      </w:r>
      <w:r w:rsidR="00590AD3">
        <w:rPr>
          <w:color w:val="000000" w:themeColor="text1"/>
          <w:spacing w:val="-2"/>
        </w:rPr>
        <w:t>ở</w:t>
      </w:r>
      <w:r w:rsidR="00590AD3" w:rsidRPr="00590AD3">
        <w:rPr>
          <w:color w:val="000000" w:themeColor="text1"/>
          <w:spacing w:val="-2"/>
        </w:rPr>
        <w:t xml:space="preserve"> ngay dưới </w:t>
      </w:r>
      <w:r w:rsidR="00590AD3">
        <w:rPr>
          <w:color w:val="000000" w:themeColor="text1"/>
          <w:spacing w:val="-2"/>
        </w:rPr>
        <w:t>mức cơ sở</w:t>
      </w:r>
      <w:r w:rsidR="00590AD3" w:rsidRPr="00590AD3">
        <w:rPr>
          <w:color w:val="000000" w:themeColor="text1"/>
          <w:spacing w:val="-2"/>
        </w:rPr>
        <w:t xml:space="preserve">. Sự kết hợp của các chỉ số tích cực và tiêu cực làm cho triển vọng ngắn hạn </w:t>
      </w:r>
      <w:r w:rsidR="00E07139">
        <w:rPr>
          <w:color w:val="000000" w:themeColor="text1"/>
          <w:spacing w:val="-2"/>
        </w:rPr>
        <w:t>không</w:t>
      </w:r>
      <w:r w:rsidR="00E07139" w:rsidRPr="00590AD3">
        <w:rPr>
          <w:color w:val="000000" w:themeColor="text1"/>
          <w:spacing w:val="-2"/>
        </w:rPr>
        <w:t xml:space="preserve"> </w:t>
      </w:r>
      <w:r w:rsidR="00590AD3" w:rsidRPr="00590AD3">
        <w:rPr>
          <w:color w:val="000000" w:themeColor="text1"/>
          <w:spacing w:val="-2"/>
        </w:rPr>
        <w:t>chắc chắn.</w:t>
      </w:r>
    </w:p>
    <w:p w14:paraId="482C7AF2" w14:textId="77777777" w:rsidR="006A76A8" w:rsidRPr="00A42EBD" w:rsidRDefault="006A76A8" w:rsidP="00060AE9">
      <w:pPr>
        <w:spacing w:before="120" w:after="120" w:line="240" w:lineRule="auto"/>
        <w:ind w:firstLine="720"/>
        <w:jc w:val="both"/>
        <w:rPr>
          <w:color w:val="000000" w:themeColor="text1"/>
          <w:lang w:val="vi-VN"/>
        </w:rPr>
      </w:pPr>
      <w:r w:rsidRPr="00A42EBD">
        <w:rPr>
          <w:color w:val="000000" w:themeColor="text1"/>
          <w:lang w:val="vi-VN"/>
        </w:rPr>
        <w:t>WB</w:t>
      </w:r>
      <w:r w:rsidRPr="00A42EBD">
        <w:rPr>
          <w:rStyle w:val="FootnoteReference"/>
          <w:color w:val="000000" w:themeColor="text1"/>
          <w:lang w:val="vi-VN"/>
        </w:rPr>
        <w:footnoteReference w:id="2"/>
      </w:r>
      <w:r w:rsidRPr="00A42EBD">
        <w:rPr>
          <w:color w:val="000000" w:themeColor="text1"/>
          <w:lang w:val="vi-VN"/>
        </w:rPr>
        <w:t xml:space="preserve"> </w:t>
      </w:r>
      <w:r w:rsidR="00547362">
        <w:rPr>
          <w:color w:val="000000" w:themeColor="text1"/>
        </w:rPr>
        <w:t xml:space="preserve">nhận định </w:t>
      </w:r>
      <w:r w:rsidR="00D760E7">
        <w:rPr>
          <w:color w:val="000000" w:themeColor="text1"/>
        </w:rPr>
        <w:t xml:space="preserve">tăng trưởng </w:t>
      </w:r>
      <w:r w:rsidR="00547362" w:rsidRPr="00547362">
        <w:rPr>
          <w:color w:val="000000" w:themeColor="text1"/>
          <w:lang w:val="vi-VN"/>
        </w:rPr>
        <w:t xml:space="preserve">thương mại hàng hóa </w:t>
      </w:r>
      <w:r w:rsidR="00D760E7">
        <w:rPr>
          <w:color w:val="000000" w:themeColor="text1"/>
        </w:rPr>
        <w:t>toàn cầu chậm lại trong nửa đầu năm 2023</w:t>
      </w:r>
      <w:r w:rsidR="00547362" w:rsidRPr="00547362">
        <w:rPr>
          <w:color w:val="000000" w:themeColor="text1"/>
          <w:lang w:val="vi-VN"/>
        </w:rPr>
        <w:t xml:space="preserve">. </w:t>
      </w:r>
      <w:r w:rsidR="00C90A1E">
        <w:rPr>
          <w:color w:val="000000" w:themeColor="text1"/>
        </w:rPr>
        <w:t>Y</w:t>
      </w:r>
      <w:r w:rsidR="00547362" w:rsidRPr="00547362">
        <w:rPr>
          <w:color w:val="000000" w:themeColor="text1"/>
          <w:lang w:val="vi-VN"/>
        </w:rPr>
        <w:t>ếu kém diễn ra trên diện rộng</w:t>
      </w:r>
      <w:r w:rsidR="00547362">
        <w:rPr>
          <w:color w:val="000000" w:themeColor="text1"/>
        </w:rPr>
        <w:t xml:space="preserve"> khi</w:t>
      </w:r>
      <w:r w:rsidR="00547362" w:rsidRPr="00547362">
        <w:rPr>
          <w:color w:val="000000" w:themeColor="text1"/>
          <w:lang w:val="vi-VN"/>
        </w:rPr>
        <w:t xml:space="preserve"> nhập khẩu giảm ở tất cả các nền kinh tế lớ</w:t>
      </w:r>
      <w:r w:rsidR="00547362">
        <w:rPr>
          <w:color w:val="000000" w:themeColor="text1"/>
          <w:lang w:val="vi-VN"/>
        </w:rPr>
        <w:t>n</w:t>
      </w:r>
      <w:r w:rsidR="001F319A">
        <w:rPr>
          <w:color w:val="000000" w:themeColor="text1"/>
        </w:rPr>
        <w:t>.</w:t>
      </w:r>
      <w:r w:rsidR="00547362" w:rsidRPr="00547362">
        <w:rPr>
          <w:color w:val="000000" w:themeColor="text1"/>
          <w:lang w:val="vi-VN"/>
        </w:rPr>
        <w:t xml:space="preserve"> </w:t>
      </w:r>
      <w:r w:rsidR="00265ADC">
        <w:rPr>
          <w:color w:val="000000" w:themeColor="text1"/>
        </w:rPr>
        <w:t>C</w:t>
      </w:r>
      <w:r w:rsidR="00547362" w:rsidRPr="00547362">
        <w:rPr>
          <w:color w:val="000000" w:themeColor="text1"/>
          <w:lang w:val="vi-VN"/>
        </w:rPr>
        <w:t>hỉ số PMI tháng 4</w:t>
      </w:r>
      <w:r w:rsidR="00547362">
        <w:rPr>
          <w:color w:val="000000" w:themeColor="text1"/>
        </w:rPr>
        <w:t>/2023</w:t>
      </w:r>
      <w:r w:rsidR="00547362" w:rsidRPr="00547362">
        <w:rPr>
          <w:color w:val="000000" w:themeColor="text1"/>
          <w:lang w:val="vi-VN"/>
        </w:rPr>
        <w:t xml:space="preserve"> báo hiệu </w:t>
      </w:r>
      <w:r w:rsidR="00265ADC" w:rsidRPr="00547362">
        <w:rPr>
          <w:color w:val="000000" w:themeColor="text1"/>
          <w:lang w:val="vi-VN"/>
        </w:rPr>
        <w:t xml:space="preserve">thương mại hàng hóa tiếp tục </w:t>
      </w:r>
      <w:r w:rsidR="00547362" w:rsidRPr="00547362">
        <w:rPr>
          <w:color w:val="000000" w:themeColor="text1"/>
          <w:lang w:val="vi-VN"/>
        </w:rPr>
        <w:t>suy yếu khi các đơn đặt hàng xuất khẩu mới trong lĩnh vực sản xuất tiếp tục bị thu hẹp</w:t>
      </w:r>
      <w:r w:rsidR="001F319A">
        <w:rPr>
          <w:color w:val="000000" w:themeColor="text1"/>
        </w:rPr>
        <w:t xml:space="preserve"> </w:t>
      </w:r>
      <w:r w:rsidR="00547362" w:rsidRPr="00547362">
        <w:rPr>
          <w:color w:val="000000" w:themeColor="text1"/>
          <w:lang w:val="vi-VN"/>
        </w:rPr>
        <w:t xml:space="preserve">tháng thứ 14 liên tiếp. Ngược lại, thương mại dịch vụ tăng trong tháng thứ hai liên tiếp, với chỉ số PMI đơn hàng xuất khẩu mới trong </w:t>
      </w:r>
      <w:r w:rsidR="00547362">
        <w:rPr>
          <w:color w:val="000000" w:themeColor="text1"/>
        </w:rPr>
        <w:t xml:space="preserve">lĩnh vực </w:t>
      </w:r>
      <w:r w:rsidR="00547362" w:rsidRPr="00547362">
        <w:rPr>
          <w:color w:val="000000" w:themeColor="text1"/>
          <w:lang w:val="vi-VN"/>
        </w:rPr>
        <w:t xml:space="preserve">dịch vụ đạt 52,2 </w:t>
      </w:r>
      <w:r w:rsidR="00E07139">
        <w:rPr>
          <w:color w:val="000000" w:themeColor="text1"/>
        </w:rPr>
        <w:t xml:space="preserve">điểm </w:t>
      </w:r>
      <w:r w:rsidR="00547362" w:rsidRPr="00547362">
        <w:rPr>
          <w:color w:val="000000" w:themeColor="text1"/>
          <w:lang w:val="vi-VN"/>
        </w:rPr>
        <w:t>vào tháng 4</w:t>
      </w:r>
      <w:r w:rsidR="00547362">
        <w:rPr>
          <w:color w:val="000000" w:themeColor="text1"/>
        </w:rPr>
        <w:t xml:space="preserve">/2023, </w:t>
      </w:r>
      <w:r w:rsidR="00547362" w:rsidRPr="00547362">
        <w:rPr>
          <w:color w:val="000000" w:themeColor="text1"/>
          <w:lang w:val="vi-VN"/>
        </w:rPr>
        <w:t xml:space="preserve">mức cao nhất trong chuỗi 8 năm </w:t>
      </w:r>
      <w:r w:rsidR="00547362">
        <w:rPr>
          <w:color w:val="000000" w:themeColor="text1"/>
        </w:rPr>
        <w:t>gần đây.</w:t>
      </w:r>
      <w:r w:rsidR="002F345B">
        <w:rPr>
          <w:color w:val="000000" w:themeColor="text1"/>
        </w:rPr>
        <w:t xml:space="preserve"> T</w:t>
      </w:r>
      <w:r w:rsidR="002F345B" w:rsidRPr="002F345B">
        <w:rPr>
          <w:color w:val="000000" w:themeColor="text1"/>
        </w:rPr>
        <w:t xml:space="preserve">hương mại dịch vụ </w:t>
      </w:r>
      <w:r w:rsidR="002F345B">
        <w:rPr>
          <w:color w:val="000000" w:themeColor="text1"/>
        </w:rPr>
        <w:t>tăng</w:t>
      </w:r>
      <w:r w:rsidR="002F345B" w:rsidRPr="002F345B">
        <w:rPr>
          <w:color w:val="000000" w:themeColor="text1"/>
        </w:rPr>
        <w:t xml:space="preserve"> </w:t>
      </w:r>
      <w:r w:rsidR="002F345B">
        <w:rPr>
          <w:color w:val="000000" w:themeColor="text1"/>
        </w:rPr>
        <w:t xml:space="preserve">trưởng </w:t>
      </w:r>
      <w:r w:rsidR="00647268">
        <w:rPr>
          <w:color w:val="000000" w:themeColor="text1"/>
        </w:rPr>
        <w:t>sau khi</w:t>
      </w:r>
      <w:r w:rsidR="002F345B">
        <w:rPr>
          <w:color w:val="000000" w:themeColor="text1"/>
        </w:rPr>
        <w:t xml:space="preserve"> </w:t>
      </w:r>
      <w:r w:rsidR="002F345B" w:rsidRPr="002F345B">
        <w:rPr>
          <w:color w:val="000000" w:themeColor="text1"/>
        </w:rPr>
        <w:t xml:space="preserve">nới lỏng các hạn chế di chuyển </w:t>
      </w:r>
      <w:r w:rsidR="002F345B">
        <w:rPr>
          <w:color w:val="000000" w:themeColor="text1"/>
        </w:rPr>
        <w:t>sau</w:t>
      </w:r>
      <w:r w:rsidR="002F345B" w:rsidRPr="002F345B">
        <w:rPr>
          <w:color w:val="000000" w:themeColor="text1"/>
        </w:rPr>
        <w:t xml:space="preserve"> đại dịch. Lượng khách du lịch quốc tế </w:t>
      </w:r>
      <w:r w:rsidR="002F345B">
        <w:rPr>
          <w:color w:val="000000" w:themeColor="text1"/>
        </w:rPr>
        <w:t xml:space="preserve">trong năm 2023 </w:t>
      </w:r>
      <w:r w:rsidR="002F345B" w:rsidRPr="002F345B">
        <w:rPr>
          <w:color w:val="000000" w:themeColor="text1"/>
        </w:rPr>
        <w:t xml:space="preserve">dự </w:t>
      </w:r>
      <w:r w:rsidR="00647268">
        <w:rPr>
          <w:color w:val="000000" w:themeColor="text1"/>
        </w:rPr>
        <w:t>báo</w:t>
      </w:r>
      <w:r w:rsidR="00647268" w:rsidRPr="002F345B">
        <w:rPr>
          <w:color w:val="000000" w:themeColor="text1"/>
        </w:rPr>
        <w:t xml:space="preserve"> </w:t>
      </w:r>
      <w:r w:rsidR="002F345B" w:rsidRPr="002F345B">
        <w:rPr>
          <w:color w:val="000000" w:themeColor="text1"/>
        </w:rPr>
        <w:t>sẽ đạt 95% so</w:t>
      </w:r>
      <w:r w:rsidR="00E07139">
        <w:rPr>
          <w:color w:val="000000" w:themeColor="text1"/>
        </w:rPr>
        <w:t xml:space="preserve"> với</w:t>
      </w:r>
      <w:r w:rsidR="002F345B" w:rsidRPr="002F345B">
        <w:rPr>
          <w:color w:val="000000" w:themeColor="text1"/>
        </w:rPr>
        <w:t xml:space="preserve"> năm 2019.</w:t>
      </w:r>
      <w:r w:rsidR="004355CA" w:rsidRPr="00A42EBD">
        <w:rPr>
          <w:color w:val="000000" w:themeColor="text1"/>
          <w:lang w:val="vi-VN"/>
        </w:rPr>
        <w:t xml:space="preserve"> </w:t>
      </w:r>
    </w:p>
    <w:p w14:paraId="6D757C30" w14:textId="77777777" w:rsidR="006A76A8" w:rsidRPr="00E9019A" w:rsidRDefault="006A76A8" w:rsidP="00060AE9">
      <w:pPr>
        <w:spacing w:before="120" w:after="120" w:line="240" w:lineRule="auto"/>
        <w:ind w:firstLine="720"/>
        <w:jc w:val="both"/>
        <w:rPr>
          <w:i/>
          <w:color w:val="000000" w:themeColor="text1"/>
        </w:rPr>
      </w:pPr>
      <w:r w:rsidRPr="00A42EBD">
        <w:rPr>
          <w:b/>
          <w:i/>
          <w:color w:val="000000" w:themeColor="text1"/>
          <w:lang w:val="vi-VN"/>
        </w:rPr>
        <w:t xml:space="preserve">Giá </w:t>
      </w:r>
      <w:r w:rsidR="00AD0E78" w:rsidRPr="00A42EBD">
        <w:rPr>
          <w:b/>
          <w:i/>
          <w:color w:val="000000" w:themeColor="text1"/>
          <w:lang w:val="vi-VN"/>
        </w:rPr>
        <w:t>năng lượng</w:t>
      </w:r>
      <w:r w:rsidR="001100D5">
        <w:rPr>
          <w:b/>
          <w:i/>
          <w:color w:val="000000" w:themeColor="text1"/>
        </w:rPr>
        <w:t xml:space="preserve"> và hàng hóa</w:t>
      </w:r>
      <w:r w:rsidRPr="00A42EBD">
        <w:rPr>
          <w:b/>
          <w:i/>
          <w:color w:val="000000" w:themeColor="text1"/>
          <w:lang w:val="vi-VN"/>
        </w:rPr>
        <w:t xml:space="preserve"> có xu hướng giảm</w:t>
      </w:r>
      <w:r w:rsidR="00E9019A">
        <w:rPr>
          <w:b/>
          <w:i/>
          <w:color w:val="000000" w:themeColor="text1"/>
        </w:rPr>
        <w:t xml:space="preserve"> trong năm 2023</w:t>
      </w:r>
    </w:p>
    <w:p w14:paraId="4F2A3B51" w14:textId="77777777" w:rsidR="001100D5" w:rsidRDefault="006A76A8" w:rsidP="00060AE9">
      <w:pPr>
        <w:spacing w:before="120" w:after="120" w:line="240" w:lineRule="auto"/>
        <w:ind w:firstLine="720"/>
        <w:jc w:val="both"/>
        <w:rPr>
          <w:color w:val="000000" w:themeColor="text1"/>
        </w:rPr>
      </w:pPr>
      <w:r w:rsidRPr="00A42EBD">
        <w:rPr>
          <w:color w:val="000000" w:themeColor="text1"/>
          <w:lang w:val="vi-VN"/>
        </w:rPr>
        <w:t xml:space="preserve">WB nhận định </w:t>
      </w:r>
      <w:r w:rsidR="001100D5">
        <w:rPr>
          <w:color w:val="000000" w:themeColor="text1"/>
        </w:rPr>
        <w:t xml:space="preserve">sau khi tăng trong tháng 4/2023, hầu hết </w:t>
      </w:r>
      <w:r w:rsidR="00E07139" w:rsidRPr="00A42EBD">
        <w:rPr>
          <w:color w:val="000000" w:themeColor="text1"/>
          <w:lang w:val="vi-VN"/>
        </w:rPr>
        <w:t>giá</w:t>
      </w:r>
      <w:r w:rsidR="00E07139">
        <w:rPr>
          <w:color w:val="000000" w:themeColor="text1"/>
        </w:rPr>
        <w:t xml:space="preserve"> </w:t>
      </w:r>
      <w:r w:rsidR="001100D5">
        <w:rPr>
          <w:color w:val="000000" w:themeColor="text1"/>
        </w:rPr>
        <w:t xml:space="preserve">hàng hóa đều đảo chiều giảm trong tháng 5/2023. </w:t>
      </w:r>
      <w:r w:rsidR="001100D5" w:rsidRPr="001100D5">
        <w:rPr>
          <w:color w:val="000000" w:themeColor="text1"/>
        </w:rPr>
        <w:t>Giá dầu thô Brent đã tăng lên khoảng 80 đô la Mỹ/thùng vào tháng 4</w:t>
      </w:r>
      <w:r w:rsidR="001100D5">
        <w:rPr>
          <w:color w:val="000000" w:themeColor="text1"/>
        </w:rPr>
        <w:t>/2023</w:t>
      </w:r>
      <w:r w:rsidR="001100D5" w:rsidRPr="001100D5">
        <w:rPr>
          <w:color w:val="000000" w:themeColor="text1"/>
        </w:rPr>
        <w:t xml:space="preserve"> sau thông báo cắt giảm sản lượng 1,66 triệ</w:t>
      </w:r>
      <w:r w:rsidR="001100D5">
        <w:rPr>
          <w:color w:val="000000" w:themeColor="text1"/>
        </w:rPr>
        <w:t>u thùng</w:t>
      </w:r>
      <w:r w:rsidR="001100D5" w:rsidRPr="001100D5">
        <w:rPr>
          <w:color w:val="000000" w:themeColor="text1"/>
        </w:rPr>
        <w:t>/ngày</w:t>
      </w:r>
      <w:r w:rsidR="001F319A">
        <w:rPr>
          <w:color w:val="000000" w:themeColor="text1"/>
        </w:rPr>
        <w:t xml:space="preserve"> </w:t>
      </w:r>
      <w:r w:rsidR="001100D5" w:rsidRPr="001100D5">
        <w:rPr>
          <w:color w:val="000000" w:themeColor="text1"/>
        </w:rPr>
        <w:t xml:space="preserve">của OPEC+ nhưng đã giảm ngay sau đó, xuống dưới 70 đô la Mỹ/thùng trong tháng </w:t>
      </w:r>
      <w:r w:rsidR="001100D5">
        <w:rPr>
          <w:color w:val="000000" w:themeColor="text1"/>
        </w:rPr>
        <w:t>5/2023</w:t>
      </w:r>
      <w:r w:rsidR="001100D5" w:rsidRPr="001100D5">
        <w:rPr>
          <w:color w:val="000000" w:themeColor="text1"/>
        </w:rPr>
        <w:t>. Giá dầu giảm phản ánh lo ngại về nhu cầu toàn cầu chậm lại và căng thẳng thị trường tài chính</w:t>
      </w:r>
      <w:r w:rsidR="001100D5">
        <w:rPr>
          <w:color w:val="000000" w:themeColor="text1"/>
        </w:rPr>
        <w:t>.</w:t>
      </w:r>
    </w:p>
    <w:p w14:paraId="22327243" w14:textId="77777777" w:rsidR="001100D5" w:rsidRPr="001100D5" w:rsidRDefault="001100D5" w:rsidP="00060AE9">
      <w:pPr>
        <w:spacing w:before="120" w:after="120" w:line="240" w:lineRule="auto"/>
        <w:ind w:firstLine="720"/>
        <w:jc w:val="both"/>
        <w:rPr>
          <w:color w:val="000000" w:themeColor="text1"/>
        </w:rPr>
      </w:pPr>
      <w:r>
        <w:t xml:space="preserve">Tương tự, nhiều kim loại tăng </w:t>
      </w:r>
      <w:r w:rsidR="00672128">
        <w:t xml:space="preserve">giá </w:t>
      </w:r>
      <w:r>
        <w:t xml:space="preserve">vào đầu năm do lạc quan về nhu cầu của Trung Quốc, nhưng sau đó đã giảm </w:t>
      </w:r>
      <w:r w:rsidRPr="001100D5">
        <w:t xml:space="preserve">mặc dù </w:t>
      </w:r>
      <w:r w:rsidR="00C90A1E">
        <w:t>vẫn</w:t>
      </w:r>
      <w:r w:rsidR="00C90A1E" w:rsidRPr="001100D5">
        <w:t xml:space="preserve"> </w:t>
      </w:r>
      <w:r w:rsidRPr="001100D5">
        <w:t>cao hơn mức trung bình</w:t>
      </w:r>
      <w:r w:rsidR="00E07139">
        <w:t xml:space="preserve"> giai đoạn</w:t>
      </w:r>
      <w:r w:rsidRPr="001100D5">
        <w:t xml:space="preserve"> 2015-</w:t>
      </w:r>
      <w:r w:rsidR="00E07139">
        <w:t>20</w:t>
      </w:r>
      <w:r w:rsidRPr="001100D5">
        <w:t xml:space="preserve">19. Giá giảm phản ánh sự phục hồi của nguồn cung sau gián đoạn sản </w:t>
      </w:r>
      <w:r w:rsidRPr="001100D5">
        <w:lastRenderedPageBreak/>
        <w:t xml:space="preserve">xuất vào năm </w:t>
      </w:r>
      <w:r>
        <w:t>2022</w:t>
      </w:r>
      <w:r w:rsidRPr="001100D5">
        <w:t>, cũng như nhu cầu toàn cầu giảm. Giá kim loại có thể cao hơn nếu lĩnh vực bất động sản của Trung Quốc phục hồi nhanh hơn dự kiến hoặc nếu tình trạng gián đoạn nguồn cung vẫn tiếp diễn</w:t>
      </w:r>
      <w:r w:rsidR="009A6960">
        <w:t xml:space="preserve">. Giá vàng là một </w:t>
      </w:r>
      <w:r w:rsidR="009A6960" w:rsidRPr="009A6960">
        <w:t xml:space="preserve">ngoại lệ </w:t>
      </w:r>
      <w:r w:rsidR="009A6960">
        <w:t xml:space="preserve">khi </w:t>
      </w:r>
      <w:r w:rsidR="009A6960" w:rsidRPr="009A6960">
        <w:t>tăng lên</w:t>
      </w:r>
      <w:r w:rsidR="003B058E">
        <w:t xml:space="preserve"> đạt mức cao kỷ lục trong tháng 4 và tháng 5/2023, thể hiện </w:t>
      </w:r>
      <w:r w:rsidR="009A6960">
        <w:t xml:space="preserve">vai trò </w:t>
      </w:r>
      <w:r w:rsidR="002252D2">
        <w:t>neo giữ trước</w:t>
      </w:r>
      <w:r w:rsidR="009A6960" w:rsidRPr="009A6960">
        <w:t xml:space="preserve"> sự không chắc chắn</w:t>
      </w:r>
      <w:r w:rsidR="003B058E">
        <w:t xml:space="preserve"> </w:t>
      </w:r>
      <w:r w:rsidR="002252D2">
        <w:t xml:space="preserve">của </w:t>
      </w:r>
      <w:r w:rsidR="003B058E">
        <w:t>nền kinh tế thế giới</w:t>
      </w:r>
      <w:r w:rsidR="009A6960">
        <w:t>.</w:t>
      </w:r>
    </w:p>
    <w:p w14:paraId="04563408" w14:textId="77777777" w:rsidR="001100D5" w:rsidRPr="00122F16" w:rsidRDefault="00BB3284" w:rsidP="00060AE9">
      <w:pPr>
        <w:spacing w:before="120" w:after="120" w:line="240" w:lineRule="auto"/>
        <w:ind w:firstLine="720"/>
        <w:jc w:val="both"/>
        <w:rPr>
          <w:color w:val="000000" w:themeColor="text1"/>
        </w:rPr>
      </w:pPr>
      <w:r w:rsidRPr="00BB3284">
        <w:rPr>
          <w:color w:val="000000" w:themeColor="text1"/>
          <w:lang w:val="vi-VN"/>
        </w:rPr>
        <w:t xml:space="preserve">Giá nông sản dự kiến sẽ giảm </w:t>
      </w:r>
      <w:r>
        <w:rPr>
          <w:color w:val="000000" w:themeColor="text1"/>
        </w:rPr>
        <w:t>trong</w:t>
      </w:r>
      <w:r w:rsidRPr="00BB3284">
        <w:rPr>
          <w:color w:val="000000" w:themeColor="text1"/>
          <w:lang w:val="vi-VN"/>
        </w:rPr>
        <w:t xml:space="preserve"> năm 2023</w:t>
      </w:r>
      <w:r>
        <w:rPr>
          <w:color w:val="000000" w:themeColor="text1"/>
        </w:rPr>
        <w:t xml:space="preserve"> </w:t>
      </w:r>
      <w:r w:rsidRPr="00BB3284">
        <w:rPr>
          <w:color w:val="000000" w:themeColor="text1"/>
          <w:lang w:val="vi-VN"/>
        </w:rPr>
        <w:t>do sản xuất ngũ cốc và hạt có dầu dự kiến sẽ tăng. Tuy nhiên, giá lương thực đã tăng nhanh hơn đáng kể so với lạm phát kể từ sau đại dị</w:t>
      </w:r>
      <w:r>
        <w:rPr>
          <w:color w:val="000000" w:themeColor="text1"/>
          <w:lang w:val="vi-VN"/>
        </w:rPr>
        <w:t>ch</w:t>
      </w:r>
      <w:r w:rsidR="00672128">
        <w:rPr>
          <w:color w:val="000000" w:themeColor="text1"/>
        </w:rPr>
        <w:t xml:space="preserve"> Covid-19</w:t>
      </w:r>
      <w:r>
        <w:rPr>
          <w:color w:val="000000" w:themeColor="text1"/>
        </w:rPr>
        <w:t xml:space="preserve"> </w:t>
      </w:r>
      <w:r w:rsidRPr="00BB3284">
        <w:rPr>
          <w:color w:val="000000" w:themeColor="text1"/>
          <w:lang w:val="vi-VN"/>
        </w:rPr>
        <w:t xml:space="preserve">ở một số quốc gia do đồng tiền yếu </w:t>
      </w:r>
      <w:r w:rsidR="00EC56DC">
        <w:rPr>
          <w:color w:val="000000" w:themeColor="text1"/>
        </w:rPr>
        <w:t>đi</w:t>
      </w:r>
      <w:r w:rsidR="00EC56DC" w:rsidRPr="00BB3284">
        <w:rPr>
          <w:color w:val="000000" w:themeColor="text1"/>
          <w:lang w:val="vi-VN"/>
        </w:rPr>
        <w:t xml:space="preserve"> </w:t>
      </w:r>
      <w:r w:rsidRPr="00BB3284">
        <w:rPr>
          <w:color w:val="000000" w:themeColor="text1"/>
          <w:lang w:val="vi-VN"/>
        </w:rPr>
        <w:t xml:space="preserve">và </w:t>
      </w:r>
      <w:r>
        <w:rPr>
          <w:color w:val="000000" w:themeColor="text1"/>
          <w:lang w:val="vi-VN"/>
        </w:rPr>
        <w:t>giao thông</w:t>
      </w:r>
      <w:r w:rsidR="00672128" w:rsidRPr="00672128">
        <w:rPr>
          <w:color w:val="000000" w:themeColor="text1"/>
          <w:lang w:val="vi-VN"/>
        </w:rPr>
        <w:t xml:space="preserve"> </w:t>
      </w:r>
      <w:r w:rsidR="00672128" w:rsidRPr="00BB3284">
        <w:rPr>
          <w:color w:val="000000" w:themeColor="text1"/>
          <w:lang w:val="vi-VN"/>
        </w:rPr>
        <w:t>gián đoạ</w:t>
      </w:r>
      <w:r w:rsidR="00672128">
        <w:rPr>
          <w:color w:val="000000" w:themeColor="text1"/>
          <w:lang w:val="vi-VN"/>
        </w:rPr>
        <w:t>n</w:t>
      </w:r>
      <w:r w:rsidRPr="00BB3284">
        <w:rPr>
          <w:color w:val="000000" w:themeColor="text1"/>
          <w:lang w:val="vi-VN"/>
        </w:rPr>
        <w:t xml:space="preserve">. </w:t>
      </w:r>
      <w:r w:rsidR="00EC56DC">
        <w:rPr>
          <w:color w:val="000000" w:themeColor="text1"/>
        </w:rPr>
        <w:t>T</w:t>
      </w:r>
      <w:r w:rsidRPr="00BB3284">
        <w:rPr>
          <w:color w:val="000000" w:themeColor="text1"/>
          <w:lang w:val="vi-VN"/>
        </w:rPr>
        <w:t>hời tiết bất lợi (bao gồm cả hiện tượng El Nino), hạn chế chính sách thương mại và chi phí năng lượng cao hơn</w:t>
      </w:r>
      <w:r w:rsidR="00EC56DC">
        <w:rPr>
          <w:color w:val="000000" w:themeColor="text1"/>
        </w:rPr>
        <w:t xml:space="preserve"> là những </w:t>
      </w:r>
      <w:r w:rsidR="00EC56DC" w:rsidRPr="00BB3284">
        <w:rPr>
          <w:color w:val="000000" w:themeColor="text1"/>
          <w:lang w:val="vi-VN"/>
        </w:rPr>
        <w:t>rủi ro chính đối với sản xuất nông nghiệp</w:t>
      </w:r>
      <w:r w:rsidRPr="00BB3284">
        <w:rPr>
          <w:color w:val="000000" w:themeColor="text1"/>
          <w:lang w:val="vi-VN"/>
        </w:rPr>
        <w:t xml:space="preserve">. Mất an ninh lương thực vẫn là một thách thức nghiêm trọng ở một số </w:t>
      </w:r>
      <w:r w:rsidR="00122F16">
        <w:rPr>
          <w:color w:val="000000" w:themeColor="text1"/>
        </w:rPr>
        <w:t>nền kinh tế đang phát triển và thị trường mới nổi</w:t>
      </w:r>
      <w:r w:rsidRPr="00BB3284">
        <w:rPr>
          <w:color w:val="000000" w:themeColor="text1"/>
          <w:lang w:val="vi-VN"/>
        </w:rPr>
        <w:t xml:space="preserve">, phản ánh thời tiết khắc nghiệt, xung đột địa chính trị </w:t>
      </w:r>
      <w:r w:rsidRPr="00F014F6">
        <w:rPr>
          <w:color w:val="000000" w:themeColor="text1"/>
          <w:lang w:val="vi-VN"/>
        </w:rPr>
        <w:t xml:space="preserve">và </w:t>
      </w:r>
      <w:r w:rsidR="00142FD0" w:rsidRPr="008C1407">
        <w:rPr>
          <w:color w:val="000000" w:themeColor="text1"/>
        </w:rPr>
        <w:t>rào cản</w:t>
      </w:r>
      <w:r w:rsidRPr="008C1407">
        <w:rPr>
          <w:color w:val="000000" w:themeColor="text1"/>
          <w:lang w:val="vi-VN"/>
        </w:rPr>
        <w:t xml:space="preserve"> thương mại.</w:t>
      </w:r>
      <w:r w:rsidR="00122F16">
        <w:rPr>
          <w:color w:val="000000" w:themeColor="text1"/>
        </w:rPr>
        <w:t xml:space="preserve"> </w:t>
      </w:r>
      <w:r w:rsidR="00122F16" w:rsidRPr="00122F16">
        <w:rPr>
          <w:color w:val="000000" w:themeColor="text1"/>
        </w:rPr>
        <w:t>Chỉ số giá lương thực</w:t>
      </w:r>
      <w:r w:rsidR="00122F16">
        <w:rPr>
          <w:color w:val="000000" w:themeColor="text1"/>
        </w:rPr>
        <w:t>, thực phẩm</w:t>
      </w:r>
      <w:r w:rsidR="00122F16" w:rsidRPr="00122F16">
        <w:rPr>
          <w:color w:val="000000" w:themeColor="text1"/>
        </w:rPr>
        <w:t xml:space="preserve"> của Tổ chức Lương thực và Nông nghiệ</w:t>
      </w:r>
      <w:r w:rsidR="00122F16">
        <w:rPr>
          <w:color w:val="000000" w:themeColor="text1"/>
        </w:rPr>
        <w:t>p Liên h</w:t>
      </w:r>
      <w:r w:rsidR="00122F16" w:rsidRPr="00122F16">
        <w:rPr>
          <w:color w:val="000000" w:themeColor="text1"/>
        </w:rPr>
        <w:t xml:space="preserve">ợp </w:t>
      </w:r>
      <w:r w:rsidR="00122F16">
        <w:rPr>
          <w:color w:val="000000" w:themeColor="text1"/>
        </w:rPr>
        <w:t>q</w:t>
      </w:r>
      <w:r w:rsidR="00122F16" w:rsidRPr="00122F16">
        <w:rPr>
          <w:color w:val="000000" w:themeColor="text1"/>
        </w:rPr>
        <w:t>uốc</w:t>
      </w:r>
      <w:r w:rsidR="00122F16">
        <w:rPr>
          <w:color w:val="000000" w:themeColor="text1"/>
        </w:rPr>
        <w:t xml:space="preserve"> (</w:t>
      </w:r>
      <w:r w:rsidR="00122F16" w:rsidRPr="00122F16">
        <w:rPr>
          <w:color w:val="000000" w:themeColor="text1"/>
        </w:rPr>
        <w:t>FFPI</w:t>
      </w:r>
      <w:r w:rsidR="00122F16">
        <w:rPr>
          <w:color w:val="000000" w:themeColor="text1"/>
        </w:rPr>
        <w:t xml:space="preserve">) cho thấy </w:t>
      </w:r>
      <w:r w:rsidR="00122F16" w:rsidRPr="00122F16">
        <w:rPr>
          <w:color w:val="000000" w:themeColor="text1"/>
        </w:rPr>
        <w:t>xu hướng giảm trong tháng 5</w:t>
      </w:r>
      <w:r w:rsidR="00122F16">
        <w:rPr>
          <w:color w:val="000000" w:themeColor="text1"/>
        </w:rPr>
        <w:t xml:space="preserve">/2023 khi </w:t>
      </w:r>
      <w:r w:rsidR="00122F16" w:rsidRPr="00122F16">
        <w:rPr>
          <w:color w:val="000000" w:themeColor="text1"/>
        </w:rPr>
        <w:t>đạt trung bình 124,3 điểm, giảm 3,4 điểm (2,6%) so với tháng 4</w:t>
      </w:r>
      <w:r w:rsidR="00122F16">
        <w:rPr>
          <w:color w:val="000000" w:themeColor="text1"/>
        </w:rPr>
        <w:t>/2023</w:t>
      </w:r>
      <w:r w:rsidR="00122F16" w:rsidRPr="00122F16">
        <w:rPr>
          <w:color w:val="000000" w:themeColor="text1"/>
        </w:rPr>
        <w:t>. Mức giảm trong tháng 5</w:t>
      </w:r>
      <w:r w:rsidR="00672128">
        <w:rPr>
          <w:color w:val="000000" w:themeColor="text1"/>
        </w:rPr>
        <w:t>/2023</w:t>
      </w:r>
      <w:r w:rsidR="00122F16" w:rsidRPr="00122F16">
        <w:rPr>
          <w:color w:val="000000" w:themeColor="text1"/>
        </w:rPr>
        <w:t xml:space="preserve"> </w:t>
      </w:r>
      <w:r w:rsidR="00122F16">
        <w:rPr>
          <w:color w:val="000000" w:themeColor="text1"/>
        </w:rPr>
        <w:t>chủ yếu do</w:t>
      </w:r>
      <w:r w:rsidR="00122F16" w:rsidRPr="00122F16">
        <w:rPr>
          <w:color w:val="000000" w:themeColor="text1"/>
        </w:rPr>
        <w:t xml:space="preserve"> chỉ số giá dầu thực vật, ngũ cốc và sữa</w:t>
      </w:r>
      <w:r w:rsidR="00560682" w:rsidRPr="00560682">
        <w:rPr>
          <w:color w:val="000000" w:themeColor="text1"/>
        </w:rPr>
        <w:t xml:space="preserve"> </w:t>
      </w:r>
      <w:r w:rsidR="00560682" w:rsidRPr="00122F16">
        <w:rPr>
          <w:color w:val="000000" w:themeColor="text1"/>
        </w:rPr>
        <w:t>sụt giảm đáng kể</w:t>
      </w:r>
      <w:r w:rsidR="00122F16" w:rsidRPr="00122F16">
        <w:rPr>
          <w:color w:val="000000" w:themeColor="text1"/>
        </w:rPr>
        <w:t xml:space="preserve">, </w:t>
      </w:r>
      <w:r w:rsidR="00122F16">
        <w:rPr>
          <w:color w:val="000000" w:themeColor="text1"/>
        </w:rPr>
        <w:t xml:space="preserve">trong khi </w:t>
      </w:r>
      <w:r w:rsidR="00122F16" w:rsidRPr="00122F16">
        <w:rPr>
          <w:color w:val="000000" w:themeColor="text1"/>
        </w:rPr>
        <w:t>chỉ số đường và thịt</w:t>
      </w:r>
      <w:r w:rsidR="00122F16">
        <w:rPr>
          <w:color w:val="000000" w:themeColor="text1"/>
        </w:rPr>
        <w:t xml:space="preserve"> lại tăng</w:t>
      </w:r>
      <w:r w:rsidR="00122F16" w:rsidRPr="00122F16">
        <w:rPr>
          <w:color w:val="000000" w:themeColor="text1"/>
        </w:rPr>
        <w:t>.</w:t>
      </w:r>
      <w:r w:rsidR="00C90A1E">
        <w:rPr>
          <w:color w:val="000000" w:themeColor="text1"/>
        </w:rPr>
        <w:t xml:space="preserve"> </w:t>
      </w:r>
    </w:p>
    <w:p w14:paraId="7A16D984" w14:textId="77777777" w:rsidR="009A6960" w:rsidRDefault="009A6960" w:rsidP="00060AE9">
      <w:pPr>
        <w:spacing w:before="120" w:after="120" w:line="240" w:lineRule="auto"/>
        <w:ind w:firstLine="720"/>
        <w:jc w:val="both"/>
      </w:pPr>
      <w:r>
        <w:t>WB</w:t>
      </w:r>
      <w:r w:rsidR="006A76A8" w:rsidRPr="00A42EBD">
        <w:rPr>
          <w:lang w:val="vi-VN"/>
        </w:rPr>
        <w:t xml:space="preserve"> nhận định lạm phát toàn cầu</w:t>
      </w:r>
      <w:r w:rsidR="00BA4C7F">
        <w:t xml:space="preserve"> vẫn cao nhưng đang giảm. </w:t>
      </w:r>
      <w:r w:rsidRPr="009A6960">
        <w:t xml:space="preserve">Lạm phát toàn cầu trung bình </w:t>
      </w:r>
      <w:r w:rsidR="00BA4C7F">
        <w:t>so với cùng kỳ năm trước ở mức</w:t>
      </w:r>
      <w:r w:rsidRPr="009A6960">
        <w:t xml:space="preserve"> 7,2% </w:t>
      </w:r>
      <w:r w:rsidR="00BA4C7F">
        <w:t>trong tháng 4</w:t>
      </w:r>
      <w:r w:rsidR="00EC56DC">
        <w:t>/</w:t>
      </w:r>
      <w:r w:rsidR="00BA4C7F">
        <w:t xml:space="preserve">2023, giảm so với </w:t>
      </w:r>
      <w:r w:rsidRPr="009A6960">
        <w:t xml:space="preserve">mức cao nhất 9,4% </w:t>
      </w:r>
      <w:r w:rsidR="00EC56DC">
        <w:t>trong</w:t>
      </w:r>
      <w:r w:rsidR="00EC56DC" w:rsidRPr="009A6960">
        <w:t xml:space="preserve"> </w:t>
      </w:r>
      <w:r w:rsidRPr="009A6960">
        <w:t>tháng 7</w:t>
      </w:r>
      <w:r w:rsidR="00EC56DC">
        <w:t>/</w:t>
      </w:r>
      <w:r w:rsidRPr="009A6960">
        <w:t>2022.</w:t>
      </w:r>
      <w:r w:rsidR="000679CC">
        <w:t xml:space="preserve"> </w:t>
      </w:r>
      <w:r w:rsidR="000679CC" w:rsidRPr="000679CC">
        <w:t xml:space="preserve">Dự kiến, </w:t>
      </w:r>
      <w:r w:rsidR="000679CC">
        <w:t xml:space="preserve">lạm phát </w:t>
      </w:r>
      <w:r w:rsidR="00EC56DC">
        <w:t xml:space="preserve">ở các </w:t>
      </w:r>
      <w:r w:rsidR="000679CC" w:rsidRPr="000679CC">
        <w:t xml:space="preserve">quốc gia </w:t>
      </w:r>
      <w:r w:rsidR="000679CC">
        <w:t>lớn</w:t>
      </w:r>
      <w:r w:rsidR="000679CC" w:rsidRPr="000679CC">
        <w:t xml:space="preserve"> sẽ giảm</w:t>
      </w:r>
      <w:r w:rsidR="000679CC">
        <w:t xml:space="preserve"> trong năm 2023</w:t>
      </w:r>
      <w:r w:rsidR="000679CC" w:rsidRPr="000679CC">
        <w:t xml:space="preserve">. Tuy nhiên, sự khác </w:t>
      </w:r>
      <w:r w:rsidR="000679CC">
        <w:t xml:space="preserve">biệt </w:t>
      </w:r>
      <w:r w:rsidR="000679CC" w:rsidRPr="000679CC">
        <w:t xml:space="preserve">về mức độ lạm phát giữa các nền kinh tế phát triển </w:t>
      </w:r>
      <w:r w:rsidR="00EC56DC">
        <w:t>với</w:t>
      </w:r>
      <w:r w:rsidR="00EC56DC" w:rsidRPr="000679CC">
        <w:t xml:space="preserve"> </w:t>
      </w:r>
      <w:r w:rsidR="000679CC" w:rsidRPr="000679CC">
        <w:t>các nền kinh tế đang phát triển và thị trường mới nổi dự kiến sẽ tiếp tục tồn tại. Giảm lạm phát dự kiến phản ánh giá nhiên liệu và hàng hóa phi nhiên liệu giảm</w:t>
      </w:r>
      <w:r w:rsidR="00FD359D">
        <w:t xml:space="preserve"> cùng với tác động của </w:t>
      </w:r>
      <w:r w:rsidR="000679CC" w:rsidRPr="000679CC">
        <w:t xml:space="preserve">việc thắt chặt tiền tệ </w:t>
      </w:r>
      <w:r w:rsidR="00560682">
        <w:t>tại nhiều</w:t>
      </w:r>
      <w:r w:rsidR="00FD359D">
        <w:t xml:space="preserve"> quốc gia trên thế giới</w:t>
      </w:r>
      <w:r w:rsidR="000679CC" w:rsidRPr="000679CC">
        <w:t>.</w:t>
      </w:r>
    </w:p>
    <w:p w14:paraId="59A38926" w14:textId="77777777" w:rsidR="006A76A8" w:rsidRPr="00A42EBD" w:rsidRDefault="006A76A8" w:rsidP="00060AE9">
      <w:pPr>
        <w:spacing w:before="120" w:after="120" w:line="240" w:lineRule="auto"/>
        <w:ind w:firstLine="720"/>
        <w:jc w:val="both"/>
        <w:rPr>
          <w:b/>
          <w:i/>
          <w:color w:val="000000" w:themeColor="text1"/>
          <w:lang w:val="vi-VN"/>
        </w:rPr>
      </w:pPr>
      <w:r w:rsidRPr="00A42EBD">
        <w:rPr>
          <w:b/>
          <w:i/>
          <w:color w:val="000000" w:themeColor="text1"/>
          <w:lang w:val="vi-VN"/>
        </w:rPr>
        <w:t xml:space="preserve">Điều kiện tài chính toàn cầu có xu hướng </w:t>
      </w:r>
      <w:r w:rsidR="00455B48">
        <w:rPr>
          <w:b/>
          <w:i/>
          <w:color w:val="000000" w:themeColor="text1"/>
        </w:rPr>
        <w:t>thắt chặt</w:t>
      </w:r>
      <w:r w:rsidRPr="00A42EBD">
        <w:rPr>
          <w:b/>
          <w:i/>
          <w:color w:val="000000" w:themeColor="text1"/>
          <w:lang w:val="vi-VN"/>
        </w:rPr>
        <w:t xml:space="preserve"> </w:t>
      </w:r>
    </w:p>
    <w:p w14:paraId="71D15BBB" w14:textId="77777777" w:rsidR="006F3439" w:rsidRPr="00BC7E2F" w:rsidRDefault="006A76A8" w:rsidP="00060AE9">
      <w:pPr>
        <w:spacing w:before="120" w:after="120" w:line="240" w:lineRule="auto"/>
        <w:ind w:firstLine="720"/>
        <w:jc w:val="both"/>
        <w:rPr>
          <w:color w:val="000000" w:themeColor="text1"/>
        </w:rPr>
      </w:pPr>
      <w:r w:rsidRPr="00060AE9">
        <w:rPr>
          <w:i/>
          <w:color w:val="000000" w:themeColor="text1"/>
          <w:lang w:val="vi-VN"/>
        </w:rPr>
        <w:t xml:space="preserve">Theo WB, </w:t>
      </w:r>
      <w:r w:rsidRPr="00A42EBD">
        <w:rPr>
          <w:color w:val="000000" w:themeColor="text1"/>
          <w:lang w:val="vi-VN"/>
        </w:rPr>
        <w:t>điều kiện tài chính toàn cầu</w:t>
      </w:r>
      <w:r w:rsidR="0042556B">
        <w:rPr>
          <w:color w:val="000000" w:themeColor="text1"/>
        </w:rPr>
        <w:t xml:space="preserve"> có xu hướng thắt </w:t>
      </w:r>
      <w:r w:rsidR="0042556B" w:rsidRPr="00F014F6">
        <w:rPr>
          <w:color w:val="000000" w:themeColor="text1"/>
        </w:rPr>
        <w:t>chặ</w:t>
      </w:r>
      <w:r w:rsidR="0042556B" w:rsidRPr="00C04F7B">
        <w:rPr>
          <w:color w:val="000000" w:themeColor="text1"/>
        </w:rPr>
        <w:t xml:space="preserve">t, </w:t>
      </w:r>
      <w:r w:rsidR="00142FD0" w:rsidRPr="008C1407">
        <w:rPr>
          <w:color w:val="000000" w:themeColor="text1"/>
        </w:rPr>
        <w:t xml:space="preserve">do </w:t>
      </w:r>
      <w:r w:rsidR="0042556B" w:rsidRPr="008C1407">
        <w:rPr>
          <w:color w:val="000000" w:themeColor="text1"/>
          <w:lang w:val="vi-VN"/>
        </w:rPr>
        <w:t>tác</w:t>
      </w:r>
      <w:r w:rsidR="0042556B" w:rsidRPr="0042556B">
        <w:rPr>
          <w:color w:val="000000" w:themeColor="text1"/>
          <w:lang w:val="vi-VN"/>
        </w:rPr>
        <w:t xml:space="preserve"> động lan tỏa từ sự sụp đổ của </w:t>
      </w:r>
      <w:r w:rsidR="0042556B">
        <w:rPr>
          <w:color w:val="000000" w:themeColor="text1"/>
        </w:rPr>
        <w:t xml:space="preserve">một số </w:t>
      </w:r>
      <w:r w:rsidR="0042556B" w:rsidRPr="0042556B">
        <w:rPr>
          <w:color w:val="000000" w:themeColor="text1"/>
          <w:lang w:val="vi-VN"/>
        </w:rPr>
        <w:t xml:space="preserve">ngân hàng </w:t>
      </w:r>
      <w:r w:rsidR="0042556B">
        <w:rPr>
          <w:color w:val="000000" w:themeColor="text1"/>
        </w:rPr>
        <w:t>tại Hoa Kỳ cuối tháng 4/2023</w:t>
      </w:r>
      <w:r w:rsidR="0042556B" w:rsidRPr="0042556B">
        <w:rPr>
          <w:color w:val="000000" w:themeColor="text1"/>
          <w:lang w:val="vi-VN"/>
        </w:rPr>
        <w:t xml:space="preserve">. Chỉ số giá cổ phiếu </w:t>
      </w:r>
      <w:r w:rsidR="0042556B" w:rsidRPr="00F014F6">
        <w:rPr>
          <w:color w:val="000000" w:themeColor="text1"/>
          <w:lang w:val="vi-VN"/>
        </w:rPr>
        <w:t>củ</w:t>
      </w:r>
      <w:r w:rsidR="0042556B" w:rsidRPr="00C04F7B">
        <w:rPr>
          <w:color w:val="000000" w:themeColor="text1"/>
          <w:lang w:val="vi-VN"/>
        </w:rPr>
        <w:t xml:space="preserve">a các ngân hàng </w:t>
      </w:r>
      <w:r w:rsidR="00142FD0" w:rsidRPr="008C1407">
        <w:rPr>
          <w:color w:val="000000" w:themeColor="text1"/>
        </w:rPr>
        <w:t>tại</w:t>
      </w:r>
      <w:r w:rsidR="0042556B" w:rsidRPr="008C1407">
        <w:rPr>
          <w:color w:val="000000" w:themeColor="text1"/>
          <w:lang w:val="vi-VN"/>
        </w:rPr>
        <w:t xml:space="preserve"> Hoa Kỳ</w:t>
      </w:r>
      <w:r w:rsidR="0042556B" w:rsidRPr="00F014F6">
        <w:rPr>
          <w:color w:val="000000" w:themeColor="text1"/>
          <w:lang w:val="vi-VN"/>
        </w:rPr>
        <w:t xml:space="preserve"> đã</w:t>
      </w:r>
      <w:r w:rsidR="0042556B" w:rsidRPr="0042556B">
        <w:rPr>
          <w:color w:val="000000" w:themeColor="text1"/>
          <w:lang w:val="vi-VN"/>
        </w:rPr>
        <w:t xml:space="preserve"> giảm hơn 30% từ đầu năm </w:t>
      </w:r>
      <w:r w:rsidR="0042556B">
        <w:rPr>
          <w:color w:val="000000" w:themeColor="text1"/>
        </w:rPr>
        <w:t>2023</w:t>
      </w:r>
      <w:r w:rsidR="0042556B" w:rsidRPr="0042556B">
        <w:rPr>
          <w:color w:val="000000" w:themeColor="text1"/>
          <w:lang w:val="vi-VN"/>
        </w:rPr>
        <w:t xml:space="preserve">, phản ánh những lo ngại về dòng tiền gửi chảy ra, làm suy yếu tăng trưởng của Hoa Kỳ. Các tiêu chuẩn cho vay của ngân hàng Hoa Kỳ </w:t>
      </w:r>
      <w:r w:rsidR="00560682">
        <w:rPr>
          <w:color w:val="000000" w:themeColor="text1"/>
        </w:rPr>
        <w:t>đã được thắt chặt</w:t>
      </w:r>
      <w:r w:rsidR="0042556B" w:rsidRPr="0042556B">
        <w:rPr>
          <w:color w:val="000000" w:themeColor="text1"/>
          <w:lang w:val="vi-VN"/>
        </w:rPr>
        <w:t xml:space="preserve"> hơn rất nhiều trong những quý gần đây. </w:t>
      </w:r>
      <w:r w:rsidR="006F3439" w:rsidRPr="006F3439">
        <w:rPr>
          <w:color w:val="000000" w:themeColor="text1"/>
          <w:lang w:val="vi-VN"/>
        </w:rPr>
        <w:t xml:space="preserve">Tại châu Âu, </w:t>
      </w:r>
      <w:r w:rsidR="00560682">
        <w:rPr>
          <w:color w:val="000000" w:themeColor="text1"/>
        </w:rPr>
        <w:t xml:space="preserve">ngân hàng </w:t>
      </w:r>
      <w:r w:rsidR="006F3439" w:rsidRPr="006F3439">
        <w:rPr>
          <w:color w:val="000000" w:themeColor="text1"/>
          <w:lang w:val="vi-VN"/>
        </w:rPr>
        <w:t>Credit Suisse đã chịu áp lực thị trường mạnh mẽ vào tháng 3</w:t>
      </w:r>
      <w:r w:rsidR="006F3439">
        <w:rPr>
          <w:color w:val="000000" w:themeColor="text1"/>
        </w:rPr>
        <w:t>/2023</w:t>
      </w:r>
      <w:r w:rsidR="006F3439" w:rsidRPr="006F3439">
        <w:rPr>
          <w:color w:val="000000" w:themeColor="text1"/>
          <w:lang w:val="vi-VN"/>
        </w:rPr>
        <w:t xml:space="preserve"> và bị </w:t>
      </w:r>
      <w:r w:rsidR="006F3439">
        <w:rPr>
          <w:color w:val="000000" w:themeColor="text1"/>
        </w:rPr>
        <w:t>chính phủ Thụy Sỹ</w:t>
      </w:r>
      <w:r w:rsidR="005C64C5">
        <w:rPr>
          <w:color w:val="000000" w:themeColor="text1"/>
        </w:rPr>
        <w:t xml:space="preserve"> </w:t>
      </w:r>
      <w:r w:rsidR="005C64C5" w:rsidRPr="006F3439">
        <w:rPr>
          <w:color w:val="000000" w:themeColor="text1"/>
          <w:lang w:val="vi-VN"/>
        </w:rPr>
        <w:t>tiếp quản khẩn cấp</w:t>
      </w:r>
      <w:r w:rsidR="006F3439" w:rsidRPr="006F3439">
        <w:rPr>
          <w:color w:val="000000" w:themeColor="text1"/>
          <w:lang w:val="vi-VN"/>
        </w:rPr>
        <w:t xml:space="preserve">. </w:t>
      </w:r>
      <w:r w:rsidR="006F3439">
        <w:rPr>
          <w:color w:val="000000" w:themeColor="text1"/>
        </w:rPr>
        <w:t>C</w:t>
      </w:r>
      <w:r w:rsidR="006F3439" w:rsidRPr="006F3439">
        <w:rPr>
          <w:color w:val="000000" w:themeColor="text1"/>
          <w:lang w:val="vi-VN"/>
        </w:rPr>
        <w:t>ăng thẳng</w:t>
      </w:r>
      <w:r w:rsidR="003746E3">
        <w:rPr>
          <w:color w:val="000000" w:themeColor="text1"/>
        </w:rPr>
        <w:t xml:space="preserve"> trong hoạt động</w:t>
      </w:r>
      <w:r w:rsidR="006F3439" w:rsidRPr="006F3439">
        <w:rPr>
          <w:color w:val="000000" w:themeColor="text1"/>
          <w:lang w:val="vi-VN"/>
        </w:rPr>
        <w:t xml:space="preserve"> ngân hàng đã </w:t>
      </w:r>
      <w:r w:rsidR="00C04F7B">
        <w:rPr>
          <w:color w:val="000000" w:themeColor="text1"/>
        </w:rPr>
        <w:t xml:space="preserve">làm </w:t>
      </w:r>
      <w:r w:rsidR="006F3439" w:rsidRPr="006F3439">
        <w:rPr>
          <w:color w:val="000000" w:themeColor="text1"/>
          <w:lang w:val="vi-VN"/>
        </w:rPr>
        <w:t>gia tăng biến động của thị trường</w:t>
      </w:r>
      <w:r w:rsidR="006F3439">
        <w:rPr>
          <w:color w:val="000000" w:themeColor="text1"/>
        </w:rPr>
        <w:t xml:space="preserve"> tài chính khi </w:t>
      </w:r>
      <w:r w:rsidR="006F3439" w:rsidRPr="006F3439">
        <w:rPr>
          <w:color w:val="000000" w:themeColor="text1"/>
          <w:lang w:val="vi-VN"/>
        </w:rPr>
        <w:t xml:space="preserve">lợi suất trái phiếu hai năm của </w:t>
      </w:r>
      <w:r w:rsidR="006F3439">
        <w:rPr>
          <w:color w:val="000000" w:themeColor="text1"/>
        </w:rPr>
        <w:t>Hoa Kỳ</w:t>
      </w:r>
      <w:r w:rsidR="006F3439" w:rsidRPr="006F3439">
        <w:rPr>
          <w:color w:val="000000" w:themeColor="text1"/>
          <w:lang w:val="vi-VN"/>
        </w:rPr>
        <w:t xml:space="preserve"> và giá cổ phiếu ngân hàng giả</w:t>
      </w:r>
      <w:r w:rsidR="00BC7E2F">
        <w:rPr>
          <w:color w:val="000000" w:themeColor="text1"/>
          <w:lang w:val="vi-VN"/>
        </w:rPr>
        <w:t>m</w:t>
      </w:r>
      <w:r w:rsidR="00BC7E2F">
        <w:rPr>
          <w:color w:val="000000" w:themeColor="text1"/>
        </w:rPr>
        <w:t xml:space="preserve">. </w:t>
      </w:r>
      <w:r w:rsidR="00BC7E2F" w:rsidRPr="00BC7E2F">
        <w:rPr>
          <w:color w:val="000000" w:themeColor="text1"/>
        </w:rPr>
        <w:t xml:space="preserve">Đối với </w:t>
      </w:r>
      <w:r w:rsidR="00BC7E2F">
        <w:rPr>
          <w:color w:val="000000" w:themeColor="text1"/>
        </w:rPr>
        <w:t xml:space="preserve">các nền kinh tế đang phát triển và thị trường mới nổi, </w:t>
      </w:r>
      <w:r w:rsidR="00BC7E2F" w:rsidRPr="00BC7E2F">
        <w:rPr>
          <w:color w:val="000000" w:themeColor="text1"/>
        </w:rPr>
        <w:t>lãi suất cao hơn ở các nền kinh tế phát triể</w:t>
      </w:r>
      <w:r w:rsidR="00BC7E2F">
        <w:rPr>
          <w:color w:val="000000" w:themeColor="text1"/>
        </w:rPr>
        <w:t xml:space="preserve">n khiến việc đi vay trở nên tốn kém, </w:t>
      </w:r>
      <w:r w:rsidR="005C64C5">
        <w:rPr>
          <w:color w:val="000000" w:themeColor="text1"/>
        </w:rPr>
        <w:t xml:space="preserve">đồng thời </w:t>
      </w:r>
      <w:r w:rsidR="00BC7E2F">
        <w:rPr>
          <w:color w:val="000000" w:themeColor="text1"/>
        </w:rPr>
        <w:t xml:space="preserve">sự thận trọng từ các nhà đầu tư gián tiếp </w:t>
      </w:r>
      <w:r w:rsidR="00C04F7B">
        <w:rPr>
          <w:color w:val="000000" w:themeColor="text1"/>
        </w:rPr>
        <w:t xml:space="preserve">đã </w:t>
      </w:r>
      <w:r w:rsidR="00BC7E2F" w:rsidRPr="00BC7E2F">
        <w:rPr>
          <w:color w:val="000000" w:themeColor="text1"/>
        </w:rPr>
        <w:t>gây áp lực lên dòng vốn đầu tư vào các</w:t>
      </w:r>
      <w:r w:rsidR="00BC7E2F">
        <w:rPr>
          <w:color w:val="000000" w:themeColor="text1"/>
        </w:rPr>
        <w:t xml:space="preserve"> quốc gia này trừ </w:t>
      </w:r>
      <w:r w:rsidR="00BC7E2F" w:rsidRPr="00BC7E2F">
        <w:rPr>
          <w:color w:val="000000" w:themeColor="text1"/>
        </w:rPr>
        <w:t>Trung Quốc</w:t>
      </w:r>
      <w:r w:rsidR="00BC7E2F">
        <w:rPr>
          <w:color w:val="000000" w:themeColor="text1"/>
        </w:rPr>
        <w:t>.</w:t>
      </w:r>
    </w:p>
    <w:p w14:paraId="07B9087A" w14:textId="77777777" w:rsidR="00375CB5" w:rsidRPr="00BC7E2F" w:rsidRDefault="00375CB5" w:rsidP="00060AE9">
      <w:pPr>
        <w:spacing w:before="120" w:after="120" w:line="240" w:lineRule="auto"/>
        <w:ind w:firstLine="720"/>
        <w:jc w:val="both"/>
        <w:rPr>
          <w:color w:val="000000" w:themeColor="text1"/>
        </w:rPr>
      </w:pPr>
      <w:r w:rsidRPr="00060AE9">
        <w:rPr>
          <w:i/>
          <w:color w:val="000000" w:themeColor="text1"/>
          <w:lang w:val="vi-VN"/>
        </w:rPr>
        <w:t>IMF</w:t>
      </w:r>
      <w:r w:rsidRPr="00A42EBD">
        <w:rPr>
          <w:color w:val="000000" w:themeColor="text1"/>
          <w:lang w:val="vi-VN"/>
        </w:rPr>
        <w:t xml:space="preserve"> cho rằng </w:t>
      </w:r>
      <w:r w:rsidRPr="00A42EBD">
        <w:rPr>
          <w:lang w:val="vi-VN"/>
        </w:rPr>
        <w:t>các điều kiện tài chính toàn cầu</w:t>
      </w:r>
      <w:r w:rsidR="00BC7E2F">
        <w:t xml:space="preserve"> </w:t>
      </w:r>
      <w:r w:rsidR="00E87EDF">
        <w:t xml:space="preserve">ngày càng </w:t>
      </w:r>
      <w:r w:rsidR="00BC7E2F">
        <w:t>thắt chặt</w:t>
      </w:r>
      <w:r w:rsidRPr="00A42EBD">
        <w:rPr>
          <w:lang w:val="vi-VN"/>
        </w:rPr>
        <w:t>.</w:t>
      </w:r>
      <w:r w:rsidR="00BC7E2F">
        <w:t xml:space="preserve"> </w:t>
      </w:r>
      <w:r w:rsidR="00BC7E2F" w:rsidRPr="00BC7E2F">
        <w:t>Ở nhiều quốc gia, khu vực tài chính sẽ vẫn rất dễ bị tổn thương trước sự gia tăng rõ rệt của lãi suất</w:t>
      </w:r>
      <w:r w:rsidR="00BC7E2F">
        <w:t xml:space="preserve">. Trong kịch bản suy thoái nghiêm trọng, </w:t>
      </w:r>
      <w:r w:rsidR="00BC7E2F" w:rsidRPr="00BC7E2F">
        <w:t xml:space="preserve">hoạt động cho vay của ngân hàng </w:t>
      </w:r>
      <w:r w:rsidR="00BC7E2F" w:rsidRPr="00BC7E2F">
        <w:lastRenderedPageBreak/>
        <w:t>tại Hoa Kỳ và các nền kinh tế phát triển khác có thể giảm mạnh</w:t>
      </w:r>
      <w:r w:rsidR="00BC7E2F">
        <w:t xml:space="preserve">. </w:t>
      </w:r>
      <w:r w:rsidR="00BC7E2F" w:rsidRPr="00BC7E2F">
        <w:t xml:space="preserve">Niềm tin của hộ gia đình và doanh nghiệp sẽ </w:t>
      </w:r>
      <w:r w:rsidR="00BC7E2F">
        <w:t>bị ảnh hưởng</w:t>
      </w:r>
      <w:r w:rsidR="00BC7E2F" w:rsidRPr="00BC7E2F">
        <w:t xml:space="preserve">, dẫn đến tiết kiệm dự phòng của hộ gia đình cao hơn và đầu tư thấp hơn. </w:t>
      </w:r>
      <w:r w:rsidR="00317EB6">
        <w:t>S</w:t>
      </w:r>
      <w:r w:rsidR="00BC7E2F" w:rsidRPr="00BC7E2F">
        <w:t>uy thoái ở các nền kinh tế</w:t>
      </w:r>
      <w:r w:rsidR="00BC7E2F">
        <w:t xml:space="preserve"> phát triển</w:t>
      </w:r>
      <w:r w:rsidR="00BC7E2F" w:rsidRPr="00BC7E2F">
        <w:t xml:space="preserve"> sẽ lan sang phần còn lại của thế giới </w:t>
      </w:r>
      <w:r w:rsidR="003746E3">
        <w:t xml:space="preserve">do </w:t>
      </w:r>
      <w:r w:rsidR="00BC7E2F" w:rsidRPr="00BC7E2F">
        <w:t xml:space="preserve">nhu cầu nhập khẩu và giá hàng hóa thấp hơn. </w:t>
      </w:r>
      <w:r w:rsidR="00317EB6">
        <w:t xml:space="preserve">Tương tự như </w:t>
      </w:r>
      <w:r w:rsidR="00BC7E2F" w:rsidRPr="00BC7E2F">
        <w:t xml:space="preserve">các giai đoạn căng thẳng tài chính toàn cầu trước đây, </w:t>
      </w:r>
      <w:r w:rsidR="00317EB6">
        <w:t xml:space="preserve">điều này sẽ dẫn tới </w:t>
      </w:r>
      <w:r w:rsidR="00BC7E2F" w:rsidRPr="00BC7E2F">
        <w:t>dòng vốn chảy ra trên diện rộng khỏi các thị trường mới nổi và các nền kinh tế đang phát triển, khiến đồ</w:t>
      </w:r>
      <w:r w:rsidR="00317EB6">
        <w:t>ng đô la tăng giá hơn</w:t>
      </w:r>
      <w:r w:rsidR="00BC7E2F" w:rsidRPr="00BC7E2F">
        <w:t xml:space="preserve"> </w:t>
      </w:r>
      <w:r w:rsidR="00317EB6">
        <w:t xml:space="preserve">và </w:t>
      </w:r>
      <w:r w:rsidR="00BC7E2F" w:rsidRPr="00BC7E2F">
        <w:t>làm trầm trọng thêm tình trạng dễ bị tổn thương ở các nền kinh tế có nợ nước ngoài bằng đồng đô la</w:t>
      </w:r>
      <w:r w:rsidR="00BC7E2F">
        <w:t>.</w:t>
      </w:r>
    </w:p>
    <w:p w14:paraId="6086E764" w14:textId="77777777" w:rsidR="005D3C1E" w:rsidRPr="00A42EBD" w:rsidRDefault="005D3C1E" w:rsidP="00060AE9">
      <w:pPr>
        <w:spacing w:before="120" w:after="120" w:line="240" w:lineRule="auto"/>
        <w:ind w:firstLine="720"/>
        <w:jc w:val="both"/>
        <w:rPr>
          <w:b/>
          <w:i/>
          <w:color w:val="000000" w:themeColor="text1"/>
          <w:lang w:val="vi-VN"/>
        </w:rPr>
      </w:pPr>
      <w:r w:rsidRPr="00A42EBD">
        <w:rPr>
          <w:b/>
          <w:i/>
          <w:color w:val="000000" w:themeColor="text1"/>
          <w:lang w:val="vi-VN"/>
        </w:rPr>
        <w:t>Triển vọng thị trường lao động toàn cầu năm 2023 vẫn chưa phục hồi về mức trước đại dịch</w:t>
      </w:r>
    </w:p>
    <w:p w14:paraId="3267D493" w14:textId="77777777" w:rsidR="00440516" w:rsidRDefault="005D3C1E" w:rsidP="00060AE9">
      <w:pPr>
        <w:spacing w:before="120" w:after="120" w:line="240" w:lineRule="auto"/>
        <w:ind w:firstLine="720"/>
        <w:jc w:val="both"/>
        <w:rPr>
          <w:color w:val="000000" w:themeColor="text1"/>
        </w:rPr>
      </w:pPr>
      <w:r w:rsidRPr="00A42EBD">
        <w:rPr>
          <w:color w:val="000000" w:themeColor="text1"/>
          <w:lang w:val="vi-VN"/>
        </w:rPr>
        <w:t xml:space="preserve">Theo báo cáo </w:t>
      </w:r>
      <w:r w:rsidR="00440516">
        <w:rPr>
          <w:color w:val="000000" w:themeColor="text1"/>
        </w:rPr>
        <w:t xml:space="preserve">Giám sát việc làm trên thế giới tháng 5/2023, </w:t>
      </w:r>
      <w:r w:rsidRPr="00A42EBD">
        <w:rPr>
          <w:color w:val="000000" w:themeColor="text1"/>
          <w:lang w:val="vi-VN"/>
        </w:rPr>
        <w:t xml:space="preserve">Tổ chức Lao động </w:t>
      </w:r>
      <w:r w:rsidR="00C77ED8" w:rsidRPr="00A42EBD">
        <w:rPr>
          <w:color w:val="000000" w:themeColor="text1"/>
          <w:lang w:val="vi-VN"/>
        </w:rPr>
        <w:t>quốc tế</w:t>
      </w:r>
      <w:r w:rsidR="008F54EA" w:rsidRPr="00A42EBD">
        <w:rPr>
          <w:color w:val="000000" w:themeColor="text1"/>
          <w:lang w:val="vi-VN"/>
        </w:rPr>
        <w:t xml:space="preserve"> (ILO)</w:t>
      </w:r>
      <w:r w:rsidR="00440516">
        <w:rPr>
          <w:color w:val="000000" w:themeColor="text1"/>
        </w:rPr>
        <w:t xml:space="preserve"> nhận định c</w:t>
      </w:r>
      <w:r w:rsidR="00440516" w:rsidRPr="00440516">
        <w:rPr>
          <w:color w:val="000000" w:themeColor="text1"/>
        </w:rPr>
        <w:t xml:space="preserve">ác cú sốc và rủi ro toàn cầu đang kìm hãm sự phục hồi của thị trường lao động, đặc biệt là ở các nước có thu nhập thấp và trung bình. </w:t>
      </w:r>
      <w:r w:rsidR="00D850D8">
        <w:rPr>
          <w:color w:val="000000" w:themeColor="text1"/>
        </w:rPr>
        <w:t>Tại</w:t>
      </w:r>
      <w:r w:rsidR="00D850D8" w:rsidRPr="00440516">
        <w:rPr>
          <w:color w:val="000000" w:themeColor="text1"/>
        </w:rPr>
        <w:t xml:space="preserve"> </w:t>
      </w:r>
      <w:r w:rsidR="00440516" w:rsidRPr="00440516">
        <w:rPr>
          <w:color w:val="000000" w:themeColor="text1"/>
        </w:rPr>
        <w:t>các nước đang phát triển, việc ứng phó với nhiều cuộc khủng hoảng hiện nay (hay còn gọi là “đa khủng hoảng”) bị hạn chế bởi sự kết hợp giữa lạm phát cao và lãi suất cao, cùng với khó khăn về nợ ngày càng tăng</w:t>
      </w:r>
      <w:r w:rsidR="00440516">
        <w:rPr>
          <w:color w:val="000000" w:themeColor="text1"/>
        </w:rPr>
        <w:t xml:space="preserve">. </w:t>
      </w:r>
      <w:r w:rsidR="00440516" w:rsidRPr="00440516">
        <w:rPr>
          <w:color w:val="000000" w:themeColor="text1"/>
        </w:rPr>
        <w:t xml:space="preserve">ILO dự báo các quốc gia có thu nhập thấp, </w:t>
      </w:r>
      <w:r w:rsidR="005C64C5">
        <w:rPr>
          <w:color w:val="000000" w:themeColor="text1"/>
        </w:rPr>
        <w:t>c</w:t>
      </w:r>
      <w:r w:rsidR="005C64C5" w:rsidRPr="00440516">
        <w:rPr>
          <w:color w:val="000000" w:themeColor="text1"/>
        </w:rPr>
        <w:t xml:space="preserve">hâu </w:t>
      </w:r>
      <w:r w:rsidR="00440516" w:rsidRPr="00440516">
        <w:rPr>
          <w:color w:val="000000" w:themeColor="text1"/>
        </w:rPr>
        <w:t xml:space="preserve">Phi và </w:t>
      </w:r>
      <w:r w:rsidR="005C64C5">
        <w:rPr>
          <w:color w:val="000000" w:themeColor="text1"/>
        </w:rPr>
        <w:t>c</w:t>
      </w:r>
      <w:r w:rsidR="005C64C5" w:rsidRPr="00440516">
        <w:rPr>
          <w:color w:val="000000" w:themeColor="text1"/>
        </w:rPr>
        <w:t xml:space="preserve">ác </w:t>
      </w:r>
      <w:r w:rsidR="00440516" w:rsidRPr="00440516">
        <w:rPr>
          <w:color w:val="000000" w:themeColor="text1"/>
        </w:rPr>
        <w:t xml:space="preserve">quốc gia Ả Rập khó có thể phục hồi mức thất nghiệp trước đại dịch trong năm </w:t>
      </w:r>
      <w:r w:rsidR="00440516">
        <w:rPr>
          <w:color w:val="000000" w:themeColor="text1"/>
        </w:rPr>
        <w:t>2023</w:t>
      </w:r>
      <w:r w:rsidR="00440516" w:rsidRPr="00440516">
        <w:rPr>
          <w:color w:val="000000" w:themeColor="text1"/>
        </w:rPr>
        <w:t>. Mặc dù tỷ lệ thất nghiệp toàn cầu dự kiến sẽ giảm xuống dưới mức đại dịch vào năm 2023, nhưng điều này phản ánh khả năng phục hồi mạnh hơn dự kiến ở các quốc gia có thu nhậ</w:t>
      </w:r>
      <w:r w:rsidR="00440516">
        <w:rPr>
          <w:color w:val="000000" w:themeColor="text1"/>
        </w:rPr>
        <w:t>p cao. Trong năm</w:t>
      </w:r>
      <w:r w:rsidR="00440516" w:rsidRPr="00440516">
        <w:rPr>
          <w:color w:val="000000" w:themeColor="text1"/>
        </w:rPr>
        <w:t xml:space="preserve"> 2023, khoảng cách việc làm</w:t>
      </w:r>
      <w:r w:rsidR="009E7680">
        <w:rPr>
          <w:rStyle w:val="FootnoteReference"/>
          <w:color w:val="000000" w:themeColor="text1"/>
        </w:rPr>
        <w:footnoteReference w:id="3"/>
      </w:r>
      <w:r w:rsidR="00440516" w:rsidRPr="00440516">
        <w:rPr>
          <w:color w:val="000000" w:themeColor="text1"/>
        </w:rPr>
        <w:t xml:space="preserve"> toàn cầu được dự </w:t>
      </w:r>
      <w:r w:rsidR="005C64C5">
        <w:rPr>
          <w:color w:val="000000" w:themeColor="text1"/>
        </w:rPr>
        <w:t>báo</w:t>
      </w:r>
      <w:r w:rsidR="005C64C5" w:rsidRPr="00440516">
        <w:rPr>
          <w:color w:val="000000" w:themeColor="text1"/>
        </w:rPr>
        <w:t xml:space="preserve"> </w:t>
      </w:r>
      <w:r w:rsidR="00440516" w:rsidRPr="00440516">
        <w:rPr>
          <w:color w:val="000000" w:themeColor="text1"/>
        </w:rPr>
        <w:t>là 453 triệu người (tương đương 11,7%), cao hơn gấp đôi so với tỷ lệ thất nghiệp.</w:t>
      </w:r>
      <w:r w:rsidR="00440516">
        <w:rPr>
          <w:color w:val="000000" w:themeColor="text1"/>
        </w:rPr>
        <w:t xml:space="preserve"> </w:t>
      </w:r>
      <w:r w:rsidR="00440516" w:rsidRPr="00440516">
        <w:rPr>
          <w:color w:val="000000" w:themeColor="text1"/>
        </w:rPr>
        <w:t>Các quốc gia có thu nhập thấp phải đối mặt với tỷ lệ khoảng cách việc làm lớn nhất</w:t>
      </w:r>
      <w:r w:rsidR="00D850D8">
        <w:rPr>
          <w:color w:val="000000" w:themeColor="text1"/>
        </w:rPr>
        <w:t>,</w:t>
      </w:r>
      <w:r w:rsidR="00440516" w:rsidRPr="00440516">
        <w:rPr>
          <w:color w:val="000000" w:themeColor="text1"/>
        </w:rPr>
        <w:t xml:space="preserve"> ở mức 21,5%, trong khi tỷ lệ này ở các nước có thu nhập trung bình </w:t>
      </w:r>
      <w:r w:rsidR="004218B0">
        <w:rPr>
          <w:color w:val="000000" w:themeColor="text1"/>
        </w:rPr>
        <w:t>là</w:t>
      </w:r>
      <w:r w:rsidR="00440516" w:rsidRPr="00440516">
        <w:rPr>
          <w:color w:val="000000" w:themeColor="text1"/>
        </w:rPr>
        <w:t xml:space="preserve"> hơn 11%. Các quốc gia có thu nhập cao </w:t>
      </w:r>
      <w:r w:rsidR="00440516">
        <w:rPr>
          <w:color w:val="000000" w:themeColor="text1"/>
        </w:rPr>
        <w:t>đạt</w:t>
      </w:r>
      <w:r w:rsidR="00440516" w:rsidRPr="00440516">
        <w:rPr>
          <w:color w:val="000000" w:themeColor="text1"/>
        </w:rPr>
        <w:t xml:space="preserve"> lệ thấp nhất, ở mức 8,2%.</w:t>
      </w:r>
    </w:p>
    <w:p w14:paraId="5452DECC" w14:textId="77777777" w:rsidR="006A76A8" w:rsidRPr="00A42EBD" w:rsidRDefault="006A76A8" w:rsidP="00060AE9">
      <w:pPr>
        <w:spacing w:before="120" w:after="120" w:line="240" w:lineRule="auto"/>
        <w:ind w:firstLine="720"/>
        <w:jc w:val="both"/>
        <w:rPr>
          <w:rFonts w:eastAsia="Times New Roman"/>
          <w:b/>
          <w:i/>
          <w:color w:val="000000" w:themeColor="text1"/>
          <w:spacing w:val="-2"/>
          <w:szCs w:val="28"/>
          <w:lang w:val="vi-VN"/>
        </w:rPr>
      </w:pPr>
      <w:r w:rsidRPr="00A42EBD">
        <w:rPr>
          <w:rFonts w:eastAsia="Times New Roman"/>
          <w:b/>
          <w:i/>
          <w:color w:val="000000" w:themeColor="text1"/>
          <w:spacing w:val="-2"/>
          <w:szCs w:val="28"/>
          <w:lang w:val="vi-VN"/>
        </w:rPr>
        <w:t>Một số nhân tố rủi ro tác động tới triển vọng kinh tế thế giới</w:t>
      </w:r>
    </w:p>
    <w:p w14:paraId="0A3A1852" w14:textId="77777777" w:rsidR="001E68FA" w:rsidRPr="00A42EBD" w:rsidRDefault="006144CC" w:rsidP="00060AE9">
      <w:pPr>
        <w:spacing w:before="120" w:after="120" w:line="240" w:lineRule="auto"/>
        <w:ind w:firstLine="720"/>
        <w:jc w:val="both"/>
        <w:rPr>
          <w:rFonts w:eastAsia="Times New Roman"/>
          <w:color w:val="000000" w:themeColor="text1"/>
          <w:szCs w:val="28"/>
          <w:lang w:val="vi-VN"/>
        </w:rPr>
      </w:pPr>
      <w:r>
        <w:rPr>
          <w:rFonts w:eastAsia="Times New Roman"/>
          <w:color w:val="000000" w:themeColor="text1"/>
          <w:szCs w:val="28"/>
        </w:rPr>
        <w:t>WB</w:t>
      </w:r>
      <w:r w:rsidR="006A76A8" w:rsidRPr="00A42EBD">
        <w:rPr>
          <w:rFonts w:eastAsia="Times New Roman"/>
          <w:color w:val="000000" w:themeColor="text1"/>
          <w:szCs w:val="28"/>
          <w:lang w:val="vi-VN"/>
        </w:rPr>
        <w:t xml:space="preserve"> </w:t>
      </w:r>
      <w:r w:rsidR="00A1217A" w:rsidRPr="00A42EBD">
        <w:rPr>
          <w:rFonts w:eastAsia="Times New Roman"/>
          <w:color w:val="000000" w:themeColor="text1"/>
          <w:szCs w:val="28"/>
          <w:lang w:val="vi-VN"/>
        </w:rPr>
        <w:t>chỉ ra</w:t>
      </w:r>
      <w:r w:rsidR="00B1408F" w:rsidRPr="00A42EBD">
        <w:rPr>
          <w:rFonts w:eastAsia="Times New Roman"/>
          <w:color w:val="000000" w:themeColor="text1"/>
          <w:szCs w:val="28"/>
          <w:lang w:val="vi-VN"/>
        </w:rPr>
        <w:t xml:space="preserve"> </w:t>
      </w:r>
      <w:r w:rsidR="009A2357" w:rsidRPr="009A2357">
        <w:rPr>
          <w:rFonts w:eastAsia="Times New Roman"/>
          <w:szCs w:val="28"/>
        </w:rPr>
        <w:t>ba</w:t>
      </w:r>
      <w:r w:rsidR="00B1408F" w:rsidRPr="00A42EBD">
        <w:rPr>
          <w:rFonts w:eastAsia="Times New Roman"/>
          <w:color w:val="FF0000"/>
          <w:szCs w:val="28"/>
          <w:lang w:val="vi-VN"/>
        </w:rPr>
        <w:t xml:space="preserve"> </w:t>
      </w:r>
      <w:r w:rsidR="00E16AA9" w:rsidRPr="00A42EBD">
        <w:rPr>
          <w:rFonts w:eastAsia="Times New Roman"/>
          <w:color w:val="000000" w:themeColor="text1"/>
          <w:szCs w:val="28"/>
          <w:lang w:val="vi-VN"/>
        </w:rPr>
        <w:t xml:space="preserve">nhân tố </w:t>
      </w:r>
      <w:r w:rsidR="00B1408F" w:rsidRPr="00A42EBD">
        <w:rPr>
          <w:rFonts w:eastAsia="Times New Roman"/>
          <w:color w:val="000000" w:themeColor="text1"/>
          <w:szCs w:val="28"/>
          <w:lang w:val="vi-VN"/>
        </w:rPr>
        <w:t xml:space="preserve">rủi ro chính </w:t>
      </w:r>
      <w:r w:rsidR="001E68FA" w:rsidRPr="00A42EBD">
        <w:rPr>
          <w:rFonts w:eastAsia="Times New Roman"/>
          <w:color w:val="000000" w:themeColor="text1"/>
          <w:szCs w:val="28"/>
          <w:lang w:val="vi-VN"/>
        </w:rPr>
        <w:t>làm giảm</w:t>
      </w:r>
      <w:r w:rsidR="006A76A8" w:rsidRPr="00A42EBD">
        <w:rPr>
          <w:rFonts w:eastAsia="Times New Roman"/>
          <w:color w:val="000000" w:themeColor="text1"/>
          <w:szCs w:val="28"/>
          <w:lang w:val="vi-VN"/>
        </w:rPr>
        <w:t xml:space="preserve"> triển vọng tăng trưởng </w:t>
      </w:r>
      <w:r w:rsidR="004B7C4A" w:rsidRPr="00A42EBD">
        <w:rPr>
          <w:rFonts w:eastAsia="Times New Roman"/>
          <w:color w:val="000000" w:themeColor="text1"/>
          <w:szCs w:val="28"/>
          <w:lang w:val="vi-VN"/>
        </w:rPr>
        <w:t xml:space="preserve">kinh tế </w:t>
      </w:r>
      <w:r w:rsidR="006A76A8" w:rsidRPr="00A42EBD">
        <w:rPr>
          <w:rFonts w:eastAsia="Times New Roman"/>
          <w:color w:val="000000" w:themeColor="text1"/>
          <w:szCs w:val="28"/>
          <w:lang w:val="vi-VN"/>
        </w:rPr>
        <w:t xml:space="preserve">toàn </w:t>
      </w:r>
      <w:r w:rsidR="005C64C5" w:rsidRPr="00A42EBD">
        <w:rPr>
          <w:rFonts w:eastAsia="Times New Roman"/>
          <w:color w:val="000000" w:themeColor="text1"/>
          <w:szCs w:val="28"/>
          <w:lang w:val="vi-VN"/>
        </w:rPr>
        <w:t>cầu</w:t>
      </w:r>
      <w:r w:rsidR="005C64C5">
        <w:rPr>
          <w:rFonts w:eastAsia="Times New Roman"/>
          <w:color w:val="000000" w:themeColor="text1"/>
          <w:szCs w:val="28"/>
        </w:rPr>
        <w:t>, gồm</w:t>
      </w:r>
      <w:r w:rsidR="006A76A8" w:rsidRPr="00A42EBD">
        <w:rPr>
          <w:rFonts w:eastAsia="Times New Roman"/>
          <w:color w:val="000000" w:themeColor="text1"/>
          <w:szCs w:val="28"/>
          <w:lang w:val="vi-VN"/>
        </w:rPr>
        <w:t>:</w:t>
      </w:r>
      <w:r w:rsidR="001E68FA" w:rsidRPr="00A42EBD">
        <w:rPr>
          <w:rFonts w:eastAsia="Times New Roman"/>
          <w:color w:val="000000" w:themeColor="text1"/>
          <w:szCs w:val="28"/>
          <w:lang w:val="vi-VN"/>
        </w:rPr>
        <w:t xml:space="preserve"> </w:t>
      </w:r>
    </w:p>
    <w:p w14:paraId="71C3BDF4" w14:textId="77777777" w:rsidR="006144CC" w:rsidRPr="006144CC" w:rsidRDefault="006144CC" w:rsidP="00060AE9">
      <w:pPr>
        <w:spacing w:before="120" w:after="120" w:line="240" w:lineRule="auto"/>
        <w:ind w:firstLine="720"/>
        <w:jc w:val="both"/>
        <w:rPr>
          <w:rFonts w:eastAsia="Times New Roman"/>
          <w:color w:val="000000" w:themeColor="text1"/>
          <w:szCs w:val="28"/>
        </w:rPr>
      </w:pPr>
      <w:r w:rsidRPr="006144CC">
        <w:rPr>
          <w:rFonts w:eastAsia="Times New Roman"/>
          <w:i/>
          <w:color w:val="000000" w:themeColor="text1"/>
          <w:szCs w:val="28"/>
        </w:rPr>
        <w:t>Thứ nhất, c</w:t>
      </w:r>
      <w:r w:rsidRPr="006144CC">
        <w:rPr>
          <w:rFonts w:eastAsia="Times New Roman"/>
          <w:i/>
          <w:color w:val="000000" w:themeColor="text1"/>
          <w:szCs w:val="28"/>
          <w:lang w:val="vi-VN"/>
        </w:rPr>
        <w:t>ăng thẳng tài chính</w:t>
      </w:r>
      <w:r>
        <w:rPr>
          <w:rFonts w:eastAsia="Times New Roman"/>
          <w:i/>
          <w:color w:val="000000" w:themeColor="text1"/>
          <w:szCs w:val="28"/>
        </w:rPr>
        <w:t xml:space="preserve">. </w:t>
      </w:r>
      <w:r w:rsidRPr="006144CC">
        <w:rPr>
          <w:rFonts w:eastAsia="Times New Roman"/>
          <w:color w:val="000000" w:themeColor="text1"/>
          <w:szCs w:val="28"/>
        </w:rPr>
        <w:t xml:space="preserve">Một cuộc khủng hoảng ngân hàng nghiêm trọng có thể sẽ gây ra thiệt hại kinh tế đáng kể và dai dẳng. Mức độ tổn thất trung bình xung quanh các cuộc khủng hoảng ngân hàng được ước tính chiếm 1/3 </w:t>
      </w:r>
      <w:r>
        <w:rPr>
          <w:rFonts w:eastAsia="Times New Roman"/>
          <w:color w:val="000000" w:themeColor="text1"/>
          <w:szCs w:val="28"/>
        </w:rPr>
        <w:t>giá trị sản xuất</w:t>
      </w:r>
      <w:r w:rsidRPr="006144CC">
        <w:rPr>
          <w:rFonts w:eastAsia="Times New Roman"/>
          <w:color w:val="000000" w:themeColor="text1"/>
          <w:szCs w:val="28"/>
        </w:rPr>
        <w:t xml:space="preserve"> ở các nền kinh tế có thu nhập cao và 14% ở các quốc gia có thu nhập trung bình và thấp. Khủng hoảng tài chính cũng ảnh hưởng </w:t>
      </w:r>
      <w:r w:rsidR="004218B0" w:rsidRPr="006144CC">
        <w:rPr>
          <w:rFonts w:eastAsia="Times New Roman"/>
          <w:color w:val="000000" w:themeColor="text1"/>
          <w:szCs w:val="28"/>
        </w:rPr>
        <w:t xml:space="preserve">dài hạn </w:t>
      </w:r>
      <w:r w:rsidRPr="006144CC">
        <w:rPr>
          <w:rFonts w:eastAsia="Times New Roman"/>
          <w:color w:val="000000" w:themeColor="text1"/>
          <w:szCs w:val="28"/>
        </w:rPr>
        <w:t xml:space="preserve">đến năng suất thông qua nhiều kênh, trong đó rõ ràng nhất là thông qua đầu tư khi thu nhập, niềm tin và khả năng tiếp cận tài chính của công ty giảm đi trong khi </w:t>
      </w:r>
      <w:r w:rsidR="005C64C5">
        <w:rPr>
          <w:rFonts w:eastAsia="Times New Roman"/>
          <w:color w:val="000000" w:themeColor="text1"/>
          <w:szCs w:val="28"/>
        </w:rPr>
        <w:t>bất ổn</w:t>
      </w:r>
      <w:r w:rsidRPr="006144CC">
        <w:rPr>
          <w:rFonts w:eastAsia="Times New Roman"/>
          <w:color w:val="000000" w:themeColor="text1"/>
          <w:szCs w:val="28"/>
        </w:rPr>
        <w:t xml:space="preserve"> gia tăng</w:t>
      </w:r>
      <w:r>
        <w:rPr>
          <w:rFonts w:eastAsia="Times New Roman"/>
          <w:color w:val="000000" w:themeColor="text1"/>
          <w:szCs w:val="28"/>
        </w:rPr>
        <w:t xml:space="preserve">. </w:t>
      </w:r>
      <w:r w:rsidRPr="006144CC">
        <w:rPr>
          <w:rFonts w:eastAsia="Times New Roman"/>
          <w:color w:val="000000" w:themeColor="text1"/>
          <w:szCs w:val="28"/>
        </w:rPr>
        <w:t xml:space="preserve">Hơn nữa, một cuộc khủng hoảng ngân hàng </w:t>
      </w:r>
      <w:r w:rsidR="005C64C5">
        <w:rPr>
          <w:rFonts w:eastAsia="Times New Roman"/>
          <w:color w:val="000000" w:themeColor="text1"/>
          <w:szCs w:val="28"/>
        </w:rPr>
        <w:t xml:space="preserve">ở </w:t>
      </w:r>
      <w:r>
        <w:rPr>
          <w:rFonts w:eastAsia="Times New Roman"/>
          <w:color w:val="000000" w:themeColor="text1"/>
          <w:szCs w:val="28"/>
        </w:rPr>
        <w:t>các</w:t>
      </w:r>
      <w:r w:rsidRPr="006144CC">
        <w:rPr>
          <w:rFonts w:eastAsia="Times New Roman"/>
          <w:color w:val="000000" w:themeColor="text1"/>
          <w:szCs w:val="28"/>
        </w:rPr>
        <w:t xml:space="preserve"> nền kinh tế lớn sẽ tác động lan tỏa toàn cầu thông qua các mối liên kết và niềm tin tài chính xuyên biên giới</w:t>
      </w:r>
      <w:r>
        <w:rPr>
          <w:rFonts w:eastAsia="Times New Roman"/>
          <w:color w:val="000000" w:themeColor="text1"/>
          <w:szCs w:val="28"/>
        </w:rPr>
        <w:t>.</w:t>
      </w:r>
    </w:p>
    <w:p w14:paraId="7D5B345F" w14:textId="77777777" w:rsidR="006144CC" w:rsidRPr="006144CC" w:rsidRDefault="006144CC" w:rsidP="00060AE9">
      <w:pPr>
        <w:spacing w:before="120" w:after="120" w:line="240" w:lineRule="auto"/>
        <w:ind w:firstLine="720"/>
        <w:jc w:val="both"/>
        <w:rPr>
          <w:rFonts w:eastAsia="Times New Roman"/>
          <w:color w:val="000000" w:themeColor="text1"/>
          <w:szCs w:val="28"/>
        </w:rPr>
      </w:pPr>
      <w:r w:rsidRPr="006144CC">
        <w:rPr>
          <w:rFonts w:eastAsia="Times New Roman"/>
          <w:i/>
          <w:color w:val="000000" w:themeColor="text1"/>
          <w:szCs w:val="28"/>
        </w:rPr>
        <w:lastRenderedPageBreak/>
        <w:t>Thứ hai, l</w:t>
      </w:r>
      <w:r w:rsidRPr="006144CC">
        <w:rPr>
          <w:rFonts w:eastAsia="Times New Roman"/>
          <w:i/>
          <w:color w:val="000000" w:themeColor="text1"/>
          <w:szCs w:val="28"/>
          <w:lang w:val="vi-VN"/>
        </w:rPr>
        <w:t xml:space="preserve">ạm phát cao liên tục, </w:t>
      </w:r>
      <w:r w:rsidR="005C64C5">
        <w:rPr>
          <w:rFonts w:eastAsia="Times New Roman"/>
          <w:i/>
          <w:color w:val="000000" w:themeColor="text1"/>
          <w:szCs w:val="28"/>
        </w:rPr>
        <w:t xml:space="preserve">chính sách </w:t>
      </w:r>
      <w:r w:rsidRPr="006144CC">
        <w:rPr>
          <w:rFonts w:eastAsia="Times New Roman"/>
          <w:i/>
          <w:color w:val="000000" w:themeColor="text1"/>
          <w:szCs w:val="28"/>
          <w:lang w:val="vi-VN"/>
        </w:rPr>
        <w:t xml:space="preserve">tiền tệ </w:t>
      </w:r>
      <w:r w:rsidR="0011339D" w:rsidRPr="006144CC">
        <w:rPr>
          <w:rFonts w:eastAsia="Times New Roman"/>
          <w:i/>
          <w:color w:val="000000" w:themeColor="text1"/>
          <w:szCs w:val="28"/>
          <w:lang w:val="vi-VN"/>
        </w:rPr>
        <w:t xml:space="preserve">thắt chặt </w:t>
      </w:r>
      <w:r w:rsidR="0011339D">
        <w:rPr>
          <w:rFonts w:eastAsia="Times New Roman"/>
          <w:i/>
          <w:color w:val="000000" w:themeColor="text1"/>
          <w:szCs w:val="28"/>
        </w:rPr>
        <w:t>thêm</w:t>
      </w:r>
      <w:r w:rsidRPr="006144CC">
        <w:rPr>
          <w:rFonts w:eastAsia="Times New Roman"/>
          <w:i/>
          <w:color w:val="000000" w:themeColor="text1"/>
          <w:szCs w:val="28"/>
        </w:rPr>
        <w:t xml:space="preserve">. </w:t>
      </w:r>
      <w:r w:rsidRPr="006144CC">
        <w:rPr>
          <w:rFonts w:eastAsia="Times New Roman"/>
          <w:color w:val="000000" w:themeColor="text1"/>
          <w:szCs w:val="28"/>
          <w:lang w:val="vi-VN"/>
        </w:rPr>
        <w:t xml:space="preserve">Dự báo lạm phát đã được điều chỉnh tăng đáng kể trong những năm gần đây và áp lực </w:t>
      </w:r>
      <w:r>
        <w:rPr>
          <w:rFonts w:eastAsia="Times New Roman"/>
          <w:color w:val="000000" w:themeColor="text1"/>
          <w:szCs w:val="28"/>
        </w:rPr>
        <w:t xml:space="preserve">gia tăng </w:t>
      </w:r>
      <w:r w:rsidRPr="006144CC">
        <w:rPr>
          <w:rFonts w:eastAsia="Times New Roman"/>
          <w:color w:val="000000" w:themeColor="text1"/>
          <w:szCs w:val="28"/>
          <w:lang w:val="vi-VN"/>
        </w:rPr>
        <w:t>lạm phát vẫn có thể xảy ra</w:t>
      </w:r>
      <w:r>
        <w:rPr>
          <w:rFonts w:eastAsia="Times New Roman"/>
          <w:color w:val="000000" w:themeColor="text1"/>
          <w:szCs w:val="28"/>
        </w:rPr>
        <w:t xml:space="preserve"> trong thời gian tới. </w:t>
      </w:r>
      <w:r w:rsidRPr="006144CC">
        <w:rPr>
          <w:rFonts w:eastAsia="Times New Roman"/>
          <w:color w:val="000000" w:themeColor="text1"/>
          <w:szCs w:val="28"/>
        </w:rPr>
        <w:t xml:space="preserve">Ngoài ra, những cú sốc </w:t>
      </w:r>
      <w:r w:rsidR="0011339D">
        <w:rPr>
          <w:rFonts w:eastAsia="Times New Roman"/>
          <w:color w:val="000000" w:themeColor="text1"/>
          <w:szCs w:val="28"/>
        </w:rPr>
        <w:t xml:space="preserve">về </w:t>
      </w:r>
      <w:r w:rsidRPr="006144CC">
        <w:rPr>
          <w:rFonts w:eastAsia="Times New Roman"/>
          <w:color w:val="000000" w:themeColor="text1"/>
          <w:szCs w:val="28"/>
        </w:rPr>
        <w:t xml:space="preserve">nguồn cung có thể làm tăng giá hàng hóa. </w:t>
      </w:r>
      <w:r w:rsidR="00924E29">
        <w:rPr>
          <w:rFonts w:eastAsia="Times New Roman"/>
          <w:color w:val="000000" w:themeColor="text1"/>
          <w:szCs w:val="28"/>
        </w:rPr>
        <w:t>G</w:t>
      </w:r>
      <w:r w:rsidRPr="006144CC">
        <w:rPr>
          <w:rFonts w:eastAsia="Times New Roman"/>
          <w:color w:val="000000" w:themeColor="text1"/>
          <w:szCs w:val="28"/>
        </w:rPr>
        <w:t>ián đoạn nguồn cung dầu do xáo trộn địa chính trị có thể tác động dai dẳng đến thị trường toàn cầu</w:t>
      </w:r>
      <w:r>
        <w:rPr>
          <w:rFonts w:eastAsia="Times New Roman"/>
          <w:color w:val="000000" w:themeColor="text1"/>
          <w:szCs w:val="28"/>
        </w:rPr>
        <w:t xml:space="preserve">. </w:t>
      </w:r>
      <w:r w:rsidRPr="006144CC">
        <w:rPr>
          <w:rFonts w:eastAsia="Times New Roman"/>
          <w:color w:val="000000" w:themeColor="text1"/>
          <w:szCs w:val="28"/>
        </w:rPr>
        <w:t xml:space="preserve">Giá năng lượng cao hơn sẽ chuyển sang giá tiêu dùng và làm kỳ vọng lạm phát </w:t>
      </w:r>
      <w:r w:rsidR="00D850D8">
        <w:rPr>
          <w:rFonts w:eastAsia="Times New Roman"/>
          <w:color w:val="000000" w:themeColor="text1"/>
          <w:szCs w:val="28"/>
        </w:rPr>
        <w:t>tăng lên</w:t>
      </w:r>
      <w:r w:rsidRPr="006144CC">
        <w:rPr>
          <w:rFonts w:eastAsia="Times New Roman"/>
          <w:color w:val="000000" w:themeColor="text1"/>
          <w:szCs w:val="28"/>
        </w:rPr>
        <w:t>. Một động lực tương tự có thể xảy ra nếu nhu cầu hàng hóa của Trung Quốc mạnh hơn dự kiến.</w:t>
      </w:r>
      <w:r>
        <w:rPr>
          <w:rFonts w:eastAsia="Times New Roman"/>
          <w:color w:val="000000" w:themeColor="text1"/>
          <w:szCs w:val="28"/>
        </w:rPr>
        <w:t xml:space="preserve"> </w:t>
      </w:r>
      <w:r w:rsidR="00D850D8">
        <w:rPr>
          <w:rFonts w:eastAsia="Times New Roman"/>
          <w:color w:val="000000" w:themeColor="text1"/>
          <w:szCs w:val="28"/>
        </w:rPr>
        <w:t>C</w:t>
      </w:r>
      <w:r w:rsidRPr="006144CC">
        <w:rPr>
          <w:rFonts w:eastAsia="Times New Roman"/>
          <w:color w:val="000000" w:themeColor="text1"/>
          <w:szCs w:val="28"/>
        </w:rPr>
        <w:t xml:space="preserve">ú sốc đối với lạm phát toàn cầu sẽ khiến các ngân hàng trung ương thắt chặt chính sách tiền tệ hơn dự kiến và </w:t>
      </w:r>
      <w:r w:rsidR="00D850D8">
        <w:rPr>
          <w:rFonts w:eastAsia="Times New Roman"/>
          <w:color w:val="000000" w:themeColor="text1"/>
          <w:szCs w:val="28"/>
        </w:rPr>
        <w:t>áp dụng</w:t>
      </w:r>
      <w:r w:rsidR="00D850D8" w:rsidRPr="006144CC">
        <w:rPr>
          <w:rFonts w:eastAsia="Times New Roman"/>
          <w:color w:val="000000" w:themeColor="text1"/>
          <w:szCs w:val="28"/>
        </w:rPr>
        <w:t xml:space="preserve"> </w:t>
      </w:r>
      <w:r w:rsidRPr="006144CC">
        <w:rPr>
          <w:rFonts w:eastAsia="Times New Roman"/>
          <w:color w:val="000000" w:themeColor="text1"/>
          <w:szCs w:val="28"/>
        </w:rPr>
        <w:t>lãi suất chính sách cao hơn trong thời gian dài hơn. Điều này sẽ dẫn đến suy giảm tăng trưởng nghiêm trọng hơn</w:t>
      </w:r>
      <w:r>
        <w:rPr>
          <w:rFonts w:eastAsia="Times New Roman"/>
          <w:color w:val="000000" w:themeColor="text1"/>
          <w:szCs w:val="28"/>
        </w:rPr>
        <w:t xml:space="preserve">, đặc biệt </w:t>
      </w:r>
      <w:r w:rsidR="00244A26">
        <w:rPr>
          <w:rFonts w:eastAsia="Times New Roman"/>
          <w:color w:val="000000" w:themeColor="text1"/>
          <w:szCs w:val="28"/>
        </w:rPr>
        <w:t xml:space="preserve">ở </w:t>
      </w:r>
      <w:r>
        <w:rPr>
          <w:rFonts w:eastAsia="Times New Roman"/>
          <w:color w:val="000000" w:themeColor="text1"/>
          <w:szCs w:val="28"/>
        </w:rPr>
        <w:t xml:space="preserve">các nền kinh tế đang phát triển và </w:t>
      </w:r>
      <w:r w:rsidR="00AD461C">
        <w:rPr>
          <w:rFonts w:eastAsia="Times New Roman"/>
          <w:color w:val="000000" w:themeColor="text1"/>
          <w:szCs w:val="28"/>
        </w:rPr>
        <w:t xml:space="preserve">thị trường </w:t>
      </w:r>
      <w:r>
        <w:rPr>
          <w:rFonts w:eastAsia="Times New Roman"/>
          <w:color w:val="000000" w:themeColor="text1"/>
          <w:szCs w:val="28"/>
        </w:rPr>
        <w:t>mới nổi</w:t>
      </w:r>
      <w:r w:rsidRPr="006144CC">
        <w:rPr>
          <w:rFonts w:eastAsia="Times New Roman"/>
          <w:color w:val="000000" w:themeColor="text1"/>
          <w:szCs w:val="28"/>
        </w:rPr>
        <w:t>.</w:t>
      </w:r>
    </w:p>
    <w:p w14:paraId="2EF50EBC" w14:textId="77777777" w:rsidR="00AD461C" w:rsidRDefault="006144CC" w:rsidP="00060AE9">
      <w:pPr>
        <w:spacing w:before="120" w:after="120" w:line="240" w:lineRule="auto"/>
        <w:ind w:firstLine="720"/>
        <w:jc w:val="both"/>
        <w:rPr>
          <w:rFonts w:eastAsia="Times New Roman"/>
          <w:color w:val="000000" w:themeColor="text1"/>
          <w:szCs w:val="28"/>
          <w:lang w:val="vi-VN"/>
        </w:rPr>
      </w:pPr>
      <w:r w:rsidRPr="006144CC">
        <w:rPr>
          <w:rFonts w:eastAsia="Times New Roman"/>
          <w:i/>
          <w:color w:val="000000" w:themeColor="text1"/>
          <w:szCs w:val="28"/>
        </w:rPr>
        <w:t>Thứ ba, t</w:t>
      </w:r>
      <w:r w:rsidRPr="006144CC">
        <w:rPr>
          <w:rFonts w:eastAsia="Times New Roman"/>
          <w:i/>
          <w:color w:val="000000" w:themeColor="text1"/>
          <w:szCs w:val="28"/>
          <w:lang w:val="vi-VN"/>
        </w:rPr>
        <w:t>ăng trưởng dài hạn yếu hơn dự kiến</w:t>
      </w:r>
      <w:r>
        <w:rPr>
          <w:rFonts w:eastAsia="Times New Roman"/>
          <w:color w:val="000000" w:themeColor="text1"/>
          <w:szCs w:val="28"/>
        </w:rPr>
        <w:t xml:space="preserve">. </w:t>
      </w:r>
      <w:r w:rsidRPr="006144CC">
        <w:rPr>
          <w:rFonts w:eastAsia="Times New Roman"/>
          <w:color w:val="000000" w:themeColor="text1"/>
          <w:szCs w:val="28"/>
          <w:lang w:val="vi-VN"/>
        </w:rPr>
        <w:t xml:space="preserve">Tăng trưởng tiềm năng toàn cầu dự </w:t>
      </w:r>
      <w:r w:rsidR="00F81E32">
        <w:rPr>
          <w:rFonts w:eastAsia="Times New Roman"/>
          <w:color w:val="000000" w:themeColor="text1"/>
          <w:szCs w:val="28"/>
        </w:rPr>
        <w:t>báo</w:t>
      </w:r>
      <w:r w:rsidR="00F81E32" w:rsidRPr="006144CC">
        <w:rPr>
          <w:rFonts w:eastAsia="Times New Roman"/>
          <w:color w:val="000000" w:themeColor="text1"/>
          <w:szCs w:val="28"/>
          <w:lang w:val="vi-VN"/>
        </w:rPr>
        <w:t xml:space="preserve"> </w:t>
      </w:r>
      <w:r w:rsidRPr="006144CC">
        <w:rPr>
          <w:rFonts w:eastAsia="Times New Roman"/>
          <w:color w:val="000000" w:themeColor="text1"/>
          <w:szCs w:val="28"/>
          <w:lang w:val="vi-VN"/>
        </w:rPr>
        <w:t xml:space="preserve">sẽ giảm xuống mức thấp nhất trong ba thập kỷ </w:t>
      </w:r>
      <w:r>
        <w:rPr>
          <w:rFonts w:eastAsia="Times New Roman"/>
          <w:color w:val="000000" w:themeColor="text1"/>
          <w:szCs w:val="28"/>
        </w:rPr>
        <w:t>qua</w:t>
      </w:r>
      <w:r w:rsidRPr="006144CC">
        <w:rPr>
          <w:rFonts w:eastAsia="Times New Roman"/>
          <w:color w:val="000000" w:themeColor="text1"/>
          <w:szCs w:val="28"/>
          <w:lang w:val="vi-VN"/>
        </w:rPr>
        <w:t xml:space="preserve">. Xu hướng này </w:t>
      </w:r>
      <w:r w:rsidR="00F81E32">
        <w:rPr>
          <w:rFonts w:eastAsia="Times New Roman"/>
          <w:color w:val="000000" w:themeColor="text1"/>
          <w:szCs w:val="28"/>
        </w:rPr>
        <w:t>do</w:t>
      </w:r>
      <w:r w:rsidR="00F81E32" w:rsidRPr="006144CC">
        <w:rPr>
          <w:rFonts w:eastAsia="Times New Roman"/>
          <w:color w:val="000000" w:themeColor="text1"/>
          <w:szCs w:val="28"/>
          <w:lang w:val="vi-VN"/>
        </w:rPr>
        <w:t xml:space="preserve"> </w:t>
      </w:r>
      <w:r w:rsidRPr="006144CC">
        <w:rPr>
          <w:rFonts w:eastAsia="Times New Roman"/>
          <w:color w:val="000000" w:themeColor="text1"/>
          <w:szCs w:val="28"/>
          <w:lang w:val="vi-VN"/>
        </w:rPr>
        <w:t>nhiều nguyên nhân</w:t>
      </w:r>
      <w:r w:rsidR="00F81E32">
        <w:rPr>
          <w:rFonts w:eastAsia="Times New Roman"/>
          <w:color w:val="000000" w:themeColor="text1"/>
          <w:szCs w:val="28"/>
        </w:rPr>
        <w:t xml:space="preserve"> như</w:t>
      </w:r>
      <w:r w:rsidRPr="006144CC">
        <w:rPr>
          <w:rFonts w:eastAsia="Times New Roman"/>
          <w:color w:val="000000" w:themeColor="text1"/>
          <w:szCs w:val="28"/>
          <w:lang w:val="vi-VN"/>
        </w:rPr>
        <w:t xml:space="preserve">: lực lượng lao động toàn cầu đang già đi và tăng trưởng chậm hơn, tốc độ tăng trưởng đầu tư và năng suất nhân tố tổng hợp đang giảm. </w:t>
      </w:r>
      <w:r w:rsidR="0011339D">
        <w:rPr>
          <w:rFonts w:eastAsia="Times New Roman"/>
          <w:color w:val="000000" w:themeColor="text1"/>
          <w:szCs w:val="28"/>
        </w:rPr>
        <w:t>H</w:t>
      </w:r>
      <w:r w:rsidRPr="006144CC">
        <w:rPr>
          <w:rFonts w:eastAsia="Times New Roman"/>
          <w:color w:val="000000" w:themeColor="text1"/>
          <w:szCs w:val="28"/>
          <w:lang w:val="vi-VN"/>
        </w:rPr>
        <w:t xml:space="preserve">ạn chế đối với thương mại quốc tế </w:t>
      </w:r>
      <w:r w:rsidR="00F81E32" w:rsidRPr="006144CC">
        <w:rPr>
          <w:rFonts w:eastAsia="Times New Roman"/>
          <w:color w:val="000000" w:themeColor="text1"/>
          <w:szCs w:val="28"/>
          <w:lang w:val="vi-VN"/>
        </w:rPr>
        <w:t xml:space="preserve">ngày càng tăng </w:t>
      </w:r>
      <w:r w:rsidRPr="006144CC">
        <w:rPr>
          <w:rFonts w:eastAsia="Times New Roman"/>
          <w:color w:val="000000" w:themeColor="text1"/>
          <w:szCs w:val="28"/>
          <w:lang w:val="vi-VN"/>
        </w:rPr>
        <w:t xml:space="preserve">cho thấy tăng trưởng dài hạn cũng có thể bị suy yếu do </w:t>
      </w:r>
      <w:r w:rsidR="00E42F5E">
        <w:rPr>
          <w:rFonts w:eastAsia="Times New Roman"/>
          <w:color w:val="000000" w:themeColor="text1"/>
          <w:szCs w:val="28"/>
        </w:rPr>
        <w:t xml:space="preserve">gia tăng </w:t>
      </w:r>
      <w:r w:rsidRPr="006144CC">
        <w:rPr>
          <w:rFonts w:eastAsia="Times New Roman"/>
          <w:color w:val="000000" w:themeColor="text1"/>
          <w:szCs w:val="28"/>
          <w:lang w:val="vi-VN"/>
        </w:rPr>
        <w:t>phân mảnh địa chính trị và kinh tế.</w:t>
      </w:r>
      <w:r>
        <w:rPr>
          <w:rFonts w:eastAsia="Times New Roman"/>
          <w:color w:val="000000" w:themeColor="text1"/>
          <w:szCs w:val="28"/>
        </w:rPr>
        <w:t xml:space="preserve"> </w:t>
      </w:r>
      <w:r w:rsidRPr="006144CC">
        <w:rPr>
          <w:rFonts w:eastAsia="Times New Roman"/>
          <w:color w:val="000000" w:themeColor="text1"/>
          <w:szCs w:val="28"/>
        </w:rPr>
        <w:t xml:space="preserve">Căng thẳng địa chính trị gia tăng hơn có thể dẫn đến các thị trường tài chính, thương mại, lao động và hàng hóa ngày càng bị phân chia thành các khối khu vực. </w:t>
      </w:r>
      <w:r w:rsidR="0011339D" w:rsidRPr="00AD461C">
        <w:rPr>
          <w:rFonts w:eastAsia="Times New Roman"/>
          <w:color w:val="000000" w:themeColor="text1"/>
          <w:szCs w:val="28"/>
        </w:rPr>
        <w:t xml:space="preserve">Việc </w:t>
      </w:r>
      <w:r w:rsidRPr="0011339D">
        <w:rPr>
          <w:rFonts w:eastAsia="Times New Roman"/>
          <w:color w:val="000000" w:themeColor="text1"/>
          <w:szCs w:val="28"/>
        </w:rPr>
        <w:t>giảm phổ biến công nghệ</w:t>
      </w:r>
      <w:r w:rsidR="0011339D">
        <w:rPr>
          <w:rFonts w:eastAsia="Times New Roman"/>
          <w:color w:val="000000" w:themeColor="text1"/>
          <w:szCs w:val="28"/>
        </w:rPr>
        <w:t>,</w:t>
      </w:r>
      <w:r w:rsidRPr="0011339D">
        <w:rPr>
          <w:rFonts w:eastAsia="Times New Roman"/>
          <w:color w:val="000000" w:themeColor="text1"/>
          <w:szCs w:val="28"/>
        </w:rPr>
        <w:t xml:space="preserve"> hiệu quả phân bổ vốn và nguồn lực</w:t>
      </w:r>
      <w:r w:rsidR="00B9347E">
        <w:rPr>
          <w:rFonts w:eastAsia="Times New Roman"/>
          <w:color w:val="000000" w:themeColor="text1"/>
          <w:szCs w:val="28"/>
        </w:rPr>
        <w:t xml:space="preserve"> </w:t>
      </w:r>
      <w:r w:rsidRPr="0011339D">
        <w:rPr>
          <w:rFonts w:eastAsia="Times New Roman"/>
          <w:color w:val="000000" w:themeColor="text1"/>
          <w:szCs w:val="28"/>
        </w:rPr>
        <w:t xml:space="preserve">sẽ </w:t>
      </w:r>
      <w:r w:rsidR="0011339D">
        <w:rPr>
          <w:rFonts w:eastAsia="Times New Roman"/>
          <w:color w:val="000000" w:themeColor="text1"/>
          <w:szCs w:val="28"/>
        </w:rPr>
        <w:t>dẫn đến</w:t>
      </w:r>
      <w:r w:rsidRPr="0011339D">
        <w:rPr>
          <w:rFonts w:eastAsia="Times New Roman"/>
          <w:color w:val="000000" w:themeColor="text1"/>
          <w:szCs w:val="28"/>
        </w:rPr>
        <w:t xml:space="preserve"> giảm năng suất, tăng giá</w:t>
      </w:r>
      <w:r w:rsidR="0011339D">
        <w:rPr>
          <w:rFonts w:eastAsia="Times New Roman"/>
          <w:color w:val="000000" w:themeColor="text1"/>
          <w:szCs w:val="28"/>
        </w:rPr>
        <w:t>,</w:t>
      </w:r>
      <w:r w:rsidRPr="0011339D">
        <w:rPr>
          <w:rFonts w:eastAsia="Times New Roman"/>
          <w:color w:val="000000" w:themeColor="text1"/>
          <w:szCs w:val="28"/>
        </w:rPr>
        <w:t xml:space="preserve"> khiến cho </w:t>
      </w:r>
      <w:r w:rsidR="00E42F5E">
        <w:rPr>
          <w:rFonts w:eastAsia="Times New Roman"/>
          <w:color w:val="000000" w:themeColor="text1"/>
          <w:szCs w:val="28"/>
        </w:rPr>
        <w:t>tăng trưởng</w:t>
      </w:r>
      <w:r w:rsidRPr="0011339D">
        <w:rPr>
          <w:rFonts w:eastAsia="Times New Roman"/>
          <w:color w:val="000000" w:themeColor="text1"/>
          <w:szCs w:val="28"/>
        </w:rPr>
        <w:t xml:space="preserve"> dựa vào xuất khẩu trở nên khó đạt được hơn</w:t>
      </w:r>
      <w:r w:rsidR="00555554" w:rsidRPr="0011339D">
        <w:rPr>
          <w:rFonts w:eastAsia="Times New Roman"/>
          <w:color w:val="000000" w:themeColor="text1"/>
          <w:szCs w:val="28"/>
        </w:rPr>
        <w:t>.</w:t>
      </w:r>
      <w:r w:rsidR="00555554">
        <w:rPr>
          <w:rFonts w:eastAsia="Times New Roman"/>
          <w:color w:val="000000" w:themeColor="text1"/>
          <w:szCs w:val="28"/>
        </w:rPr>
        <w:t xml:space="preserve"> </w:t>
      </w:r>
      <w:r w:rsidRPr="006144CC">
        <w:rPr>
          <w:rFonts w:eastAsia="Times New Roman"/>
          <w:color w:val="000000" w:themeColor="text1"/>
          <w:szCs w:val="28"/>
          <w:lang w:val="vi-VN"/>
        </w:rPr>
        <w:t xml:space="preserve">Nền kinh tế toàn cầu ngày càng dễ bị tổn thương trước những cú sốc phát sinh từ biến đổi khí hậu. Các sự kiện thời tiết cực đoan </w:t>
      </w:r>
      <w:r w:rsidR="00E42F5E">
        <w:rPr>
          <w:rFonts w:eastAsia="Times New Roman"/>
          <w:color w:val="000000" w:themeColor="text1"/>
          <w:szCs w:val="28"/>
        </w:rPr>
        <w:t xml:space="preserve">như </w:t>
      </w:r>
      <w:r w:rsidRPr="006144CC">
        <w:rPr>
          <w:rFonts w:eastAsia="Times New Roman"/>
          <w:color w:val="000000" w:themeColor="text1"/>
          <w:szCs w:val="28"/>
          <w:lang w:val="vi-VN"/>
        </w:rPr>
        <w:t>hạn hán, lũ lụt, cháy rừng và bão gió</w:t>
      </w:r>
      <w:r>
        <w:rPr>
          <w:rFonts w:eastAsia="Times New Roman"/>
          <w:color w:val="000000" w:themeColor="text1"/>
          <w:szCs w:val="28"/>
        </w:rPr>
        <w:t xml:space="preserve"> </w:t>
      </w:r>
      <w:r w:rsidRPr="006144CC">
        <w:rPr>
          <w:rFonts w:eastAsia="Times New Roman"/>
          <w:color w:val="000000" w:themeColor="text1"/>
          <w:szCs w:val="28"/>
          <w:lang w:val="vi-VN"/>
        </w:rPr>
        <w:t>đang trở nên thường xuyên hơn</w:t>
      </w:r>
      <w:r w:rsidR="00E42F5E">
        <w:rPr>
          <w:rFonts w:eastAsia="Times New Roman"/>
          <w:color w:val="000000" w:themeColor="text1"/>
          <w:szCs w:val="28"/>
        </w:rPr>
        <w:t xml:space="preserve"> và sẽ </w:t>
      </w:r>
      <w:r w:rsidR="00E42F5E" w:rsidRPr="006144CC">
        <w:rPr>
          <w:rFonts w:eastAsia="Times New Roman"/>
          <w:color w:val="000000" w:themeColor="text1"/>
          <w:szCs w:val="28"/>
          <w:lang w:val="vi-VN"/>
        </w:rPr>
        <w:t>gây thiệt hại kinh tế đáng kể</w:t>
      </w:r>
      <w:r w:rsidRPr="006144CC">
        <w:rPr>
          <w:rFonts w:eastAsia="Times New Roman"/>
          <w:color w:val="000000" w:themeColor="text1"/>
          <w:szCs w:val="28"/>
          <w:lang w:val="vi-VN"/>
        </w:rPr>
        <w:t xml:space="preserve">. Trong ngắn hạn, mức độ phổ biến và mức độ nghiêm trọng của các thảm họa liên quan đến khí hậu sẽ gây ra những thiệt hại đáng kể về con người, thông qua mùa màng thất bát, cơ sở hạ tầng bị hư hại, hoạt động bị gián đoạn trên diện rộng và tình hình tài chính của chính phủ trở nên tồi tệ hơn. Những thay đổi về khí hậu có thể làm </w:t>
      </w:r>
      <w:r w:rsidR="0011339D">
        <w:rPr>
          <w:rFonts w:eastAsia="Times New Roman"/>
          <w:color w:val="000000" w:themeColor="text1"/>
          <w:szCs w:val="28"/>
        </w:rPr>
        <w:t xml:space="preserve">gia </w:t>
      </w:r>
      <w:r w:rsidRPr="006144CC">
        <w:rPr>
          <w:rFonts w:eastAsia="Times New Roman"/>
          <w:color w:val="000000" w:themeColor="text1"/>
          <w:szCs w:val="28"/>
          <w:lang w:val="vi-VN"/>
        </w:rPr>
        <w:t>tăng tình trạng mất an ninh lương thực ở những vùng có số lượng lớn nông dân tự cung tự cấp, những người thiếu nguồn lực để dễ dàng điều chỉnh sản xuất</w:t>
      </w:r>
      <w:r w:rsidR="006A76A8" w:rsidRPr="00A42EBD">
        <w:rPr>
          <w:rFonts w:eastAsia="Times New Roman"/>
          <w:color w:val="000000" w:themeColor="text1"/>
          <w:szCs w:val="28"/>
          <w:lang w:val="vi-VN"/>
        </w:rPr>
        <w:t>.</w:t>
      </w:r>
      <w:r w:rsidR="00341E68" w:rsidRPr="00A42EBD">
        <w:rPr>
          <w:rFonts w:eastAsia="Times New Roman"/>
          <w:color w:val="000000" w:themeColor="text1"/>
          <w:szCs w:val="28"/>
          <w:lang w:val="vi-VN"/>
        </w:rPr>
        <w:t xml:space="preserve"> </w:t>
      </w:r>
    </w:p>
    <w:p w14:paraId="0A42FD45" w14:textId="77777777" w:rsidR="00C82BCF" w:rsidRPr="00A42EBD" w:rsidRDefault="00C82BCF" w:rsidP="00060AE9">
      <w:pPr>
        <w:spacing w:before="120" w:after="120" w:line="240" w:lineRule="auto"/>
        <w:ind w:firstLine="720"/>
        <w:rPr>
          <w:b/>
          <w:color w:val="000000" w:themeColor="text1"/>
          <w:szCs w:val="28"/>
          <w:lang w:val="vi-VN"/>
        </w:rPr>
      </w:pPr>
      <w:r w:rsidRPr="00A42EBD">
        <w:rPr>
          <w:b/>
          <w:color w:val="000000" w:themeColor="text1"/>
          <w:szCs w:val="28"/>
          <w:lang w:val="vi-VN"/>
        </w:rPr>
        <w:t>II. TĂNG TRƯỞNG CỦA MỘT SỐ NỀN KINH TẾ</w:t>
      </w:r>
    </w:p>
    <w:p w14:paraId="46FAF1AB" w14:textId="77777777" w:rsidR="00FA4E92" w:rsidRPr="00A42EBD" w:rsidRDefault="00FA4E92" w:rsidP="00060AE9">
      <w:pPr>
        <w:spacing w:before="120" w:after="120" w:line="240" w:lineRule="auto"/>
        <w:ind w:firstLine="720"/>
        <w:jc w:val="both"/>
        <w:rPr>
          <w:b/>
          <w:szCs w:val="28"/>
          <w:lang w:val="vi-VN"/>
        </w:rPr>
      </w:pPr>
      <w:r w:rsidRPr="00A42EBD">
        <w:rPr>
          <w:b/>
          <w:szCs w:val="28"/>
          <w:lang w:val="vi-VN"/>
        </w:rPr>
        <w:t>1. Hoa Kỳ</w:t>
      </w:r>
    </w:p>
    <w:p w14:paraId="24161067" w14:textId="77777777" w:rsidR="003C7376" w:rsidRDefault="003C7376" w:rsidP="00060AE9">
      <w:pPr>
        <w:spacing w:before="120" w:after="120" w:line="240" w:lineRule="auto"/>
        <w:ind w:firstLine="720"/>
        <w:jc w:val="both"/>
        <w:rPr>
          <w:szCs w:val="28"/>
        </w:rPr>
      </w:pPr>
      <w:r>
        <w:rPr>
          <w:szCs w:val="28"/>
        </w:rPr>
        <w:t xml:space="preserve">Theo </w:t>
      </w:r>
      <w:r w:rsidRPr="0079488E">
        <w:rPr>
          <w:szCs w:val="28"/>
        </w:rPr>
        <w:t>WB</w:t>
      </w:r>
      <w:r w:rsidRPr="0079488E">
        <w:rPr>
          <w:vertAlign w:val="superscript"/>
        </w:rPr>
        <w:footnoteReference w:id="4"/>
      </w:r>
      <w:r>
        <w:rPr>
          <w:szCs w:val="28"/>
        </w:rPr>
        <w:t xml:space="preserve"> tăng trưởng của nền kinh tế Hoa Kỳ dự báo sẽ yếu đi </w:t>
      </w:r>
      <w:r w:rsidRPr="008F5E27">
        <w:rPr>
          <w:szCs w:val="28"/>
        </w:rPr>
        <w:t xml:space="preserve">đáng kể trong </w:t>
      </w:r>
      <w:r>
        <w:rPr>
          <w:szCs w:val="28"/>
        </w:rPr>
        <w:t>cả</w:t>
      </w:r>
      <w:r w:rsidRPr="008F5E27">
        <w:rPr>
          <w:szCs w:val="28"/>
        </w:rPr>
        <w:t xml:space="preserve"> năm 2023 và đầu năm 2024, chủ yếu do tác động trễ của tăng mạnh lãi suất chính sách hơn một năm rưỡi qua nhằm hạ thấp tỷ lệ lạm phát cao nhất kể từ đầu những năm 1980. Các </w:t>
      </w:r>
      <w:r>
        <w:rPr>
          <w:szCs w:val="28"/>
        </w:rPr>
        <w:t xml:space="preserve">số liệu </w:t>
      </w:r>
      <w:r w:rsidRPr="008F5E27">
        <w:rPr>
          <w:szCs w:val="28"/>
        </w:rPr>
        <w:t xml:space="preserve">ước tính dựa trên mô hình cho thấy tác động lớn nhất </w:t>
      </w:r>
      <w:r>
        <w:rPr>
          <w:szCs w:val="28"/>
        </w:rPr>
        <w:t xml:space="preserve">của </w:t>
      </w:r>
      <w:r w:rsidRPr="008F5E27">
        <w:rPr>
          <w:szCs w:val="28"/>
        </w:rPr>
        <w:t xml:space="preserve">việc thắt chặt </w:t>
      </w:r>
      <w:r>
        <w:rPr>
          <w:szCs w:val="28"/>
        </w:rPr>
        <w:t>chính sách tiền tệ</w:t>
      </w:r>
      <w:r w:rsidRPr="008F5E27">
        <w:rPr>
          <w:szCs w:val="28"/>
        </w:rPr>
        <w:t xml:space="preserve"> đối với tăng trưởng có thể xảy ra vào năm 2023. Tiêu </w:t>
      </w:r>
      <w:r>
        <w:rPr>
          <w:szCs w:val="28"/>
        </w:rPr>
        <w:t>dùng</w:t>
      </w:r>
      <w:r w:rsidRPr="008F5E27">
        <w:rPr>
          <w:szCs w:val="28"/>
        </w:rPr>
        <w:t xml:space="preserve"> đã phục hồi nhưng dự kiến ​​sẽ chậm lại đáng kể. Chi phí đi vay cao hơn </w:t>
      </w:r>
      <w:r>
        <w:rPr>
          <w:szCs w:val="28"/>
        </w:rPr>
        <w:t>cùng với</w:t>
      </w:r>
      <w:r w:rsidRPr="008F5E27">
        <w:rPr>
          <w:szCs w:val="28"/>
        </w:rPr>
        <w:t xml:space="preserve"> điều kiện tài chính </w:t>
      </w:r>
      <w:r>
        <w:rPr>
          <w:szCs w:val="28"/>
        </w:rPr>
        <w:t xml:space="preserve">thắt </w:t>
      </w:r>
      <w:r w:rsidRPr="008F5E27">
        <w:rPr>
          <w:szCs w:val="28"/>
        </w:rPr>
        <w:t xml:space="preserve">chặt hơn sẽ ảnh hưởng đến chi tiêu của hộ gia đình khi </w:t>
      </w:r>
      <w:r>
        <w:rPr>
          <w:szCs w:val="28"/>
        </w:rPr>
        <w:t>phần</w:t>
      </w:r>
      <w:r w:rsidRPr="008F5E27">
        <w:rPr>
          <w:szCs w:val="28"/>
        </w:rPr>
        <w:t xml:space="preserve"> lớn tiền tiết kiệm tích lũy trong thời kỳ đại dịch đã cạn kiệt. Tiêu dùng và đầu tư dân cư giảm tốc có thể sẽ </w:t>
      </w:r>
      <w:r>
        <w:rPr>
          <w:szCs w:val="28"/>
        </w:rPr>
        <w:t xml:space="preserve">làm </w:t>
      </w:r>
      <w:r w:rsidR="00E42F5E">
        <w:rPr>
          <w:szCs w:val="28"/>
        </w:rPr>
        <w:t>suy yếu</w:t>
      </w:r>
      <w:r w:rsidR="00E42F5E" w:rsidRPr="008F5E27">
        <w:rPr>
          <w:szCs w:val="28"/>
        </w:rPr>
        <w:t xml:space="preserve"> </w:t>
      </w:r>
      <w:r w:rsidRPr="008F5E27">
        <w:rPr>
          <w:szCs w:val="28"/>
        </w:rPr>
        <w:t xml:space="preserve">hoạt động </w:t>
      </w:r>
      <w:r>
        <w:rPr>
          <w:szCs w:val="28"/>
        </w:rPr>
        <w:t xml:space="preserve">kinh tế </w:t>
      </w:r>
      <w:r w:rsidRPr="008F5E27">
        <w:rPr>
          <w:szCs w:val="28"/>
        </w:rPr>
        <w:t xml:space="preserve">trong nửa cuối năm 2023. </w:t>
      </w:r>
      <w:r>
        <w:rPr>
          <w:szCs w:val="28"/>
        </w:rPr>
        <w:t>Theo đó, WB dự báo</w:t>
      </w:r>
      <w:r w:rsidRPr="008F5E27">
        <w:rPr>
          <w:szCs w:val="28"/>
        </w:rPr>
        <w:t xml:space="preserve"> tăng trưởng</w:t>
      </w:r>
      <w:r>
        <w:rPr>
          <w:szCs w:val="28"/>
        </w:rPr>
        <w:t xml:space="preserve"> của H</w:t>
      </w:r>
      <w:r w:rsidR="009E7680">
        <w:rPr>
          <w:szCs w:val="28"/>
        </w:rPr>
        <w:t>o</w:t>
      </w:r>
      <w:r>
        <w:rPr>
          <w:szCs w:val="28"/>
        </w:rPr>
        <w:t>a Kỳ đạt</w:t>
      </w:r>
      <w:r w:rsidR="005C3B25">
        <w:rPr>
          <w:szCs w:val="28"/>
        </w:rPr>
        <w:t xml:space="preserve"> </w:t>
      </w:r>
      <w:r w:rsidRPr="008F5E27">
        <w:rPr>
          <w:szCs w:val="28"/>
        </w:rPr>
        <w:lastRenderedPageBreak/>
        <w:t>1,1% năm 2023</w:t>
      </w:r>
      <w:r>
        <w:rPr>
          <w:szCs w:val="28"/>
        </w:rPr>
        <w:t xml:space="preserve">, giảm 1 điểm phần trăm so với tăng trưởng năm 2022 </w:t>
      </w:r>
      <w:r w:rsidR="00DE117E">
        <w:rPr>
          <w:szCs w:val="28"/>
        </w:rPr>
        <w:t xml:space="preserve">nhưng </w:t>
      </w:r>
      <w:r>
        <w:rPr>
          <w:szCs w:val="28"/>
        </w:rPr>
        <w:t>điều chỉnh tăng 0,6 điểm phần trăm so với dự báo trong tháng 01/2023.</w:t>
      </w:r>
    </w:p>
    <w:p w14:paraId="7D800CBE" w14:textId="77777777" w:rsidR="003C7376" w:rsidRDefault="003C7376" w:rsidP="00060AE9">
      <w:pPr>
        <w:spacing w:before="120" w:after="120" w:line="240" w:lineRule="auto"/>
        <w:ind w:firstLine="720"/>
        <w:jc w:val="both"/>
        <w:rPr>
          <w:szCs w:val="28"/>
        </w:rPr>
      </w:pPr>
      <w:r>
        <w:rPr>
          <w:szCs w:val="28"/>
        </w:rPr>
        <w:t xml:space="preserve">Trong báo cáo </w:t>
      </w:r>
      <w:r w:rsidRPr="00926E2E">
        <w:rPr>
          <w:szCs w:val="28"/>
        </w:rPr>
        <w:t>Tình hình và triển vọng kinh tế thế giới</w:t>
      </w:r>
      <w:r>
        <w:rPr>
          <w:szCs w:val="28"/>
        </w:rPr>
        <w:t xml:space="preserve"> giữa năm 2023,</w:t>
      </w:r>
      <w:r w:rsidRPr="00926E2E">
        <w:rPr>
          <w:szCs w:val="28"/>
        </w:rPr>
        <w:t xml:space="preserve"> UNDESA</w:t>
      </w:r>
      <w:r>
        <w:rPr>
          <w:szCs w:val="28"/>
        </w:rPr>
        <w:t xml:space="preserve"> dự báo n</w:t>
      </w:r>
      <w:r w:rsidRPr="008F5E27">
        <w:rPr>
          <w:szCs w:val="28"/>
        </w:rPr>
        <w:t>ền kinh tế Hoa Kỳ sẽ tăng trưở</w:t>
      </w:r>
      <w:r>
        <w:rPr>
          <w:szCs w:val="28"/>
        </w:rPr>
        <w:t>ng 1,1%</w:t>
      </w:r>
      <w:r w:rsidRPr="008F5E27">
        <w:rPr>
          <w:szCs w:val="28"/>
        </w:rPr>
        <w:t xml:space="preserve"> năm 2023, điều chỉnh tăng 0,7 điểm phần trăm so với dự báo đưa ra vào tháng </w:t>
      </w:r>
      <w:r>
        <w:rPr>
          <w:szCs w:val="28"/>
        </w:rPr>
        <w:t>0</w:t>
      </w:r>
      <w:r w:rsidRPr="008F5E27">
        <w:rPr>
          <w:szCs w:val="28"/>
        </w:rPr>
        <w:t>1</w:t>
      </w:r>
      <w:r>
        <w:rPr>
          <w:szCs w:val="28"/>
        </w:rPr>
        <w:t>/</w:t>
      </w:r>
      <w:r w:rsidRPr="008F5E27">
        <w:rPr>
          <w:szCs w:val="28"/>
        </w:rPr>
        <w:t xml:space="preserve">2023. </w:t>
      </w:r>
      <w:r>
        <w:rPr>
          <w:szCs w:val="28"/>
        </w:rPr>
        <w:t>Kết quả này</w:t>
      </w:r>
      <w:r w:rsidRPr="008F5E27">
        <w:rPr>
          <w:szCs w:val="28"/>
        </w:rPr>
        <w:t xml:space="preserve"> phần lớn là do chi tiêu hộ gia đình tốt hơn dự kiến và khả năng phục hồi kinh tế trong nửa đầu năm 2023.</w:t>
      </w:r>
      <w:r>
        <w:rPr>
          <w:szCs w:val="28"/>
        </w:rPr>
        <w:t xml:space="preserve"> Mặc dù có những điểm sáng trong phục hồi kinh tế nhưng nền kinh tế Hoa Kỳ vẫn tiềm ẩn nhiều nguy cơ gây ảnh hưởng đến hoạt động kinh tế. Tình trạng</w:t>
      </w:r>
      <w:r w:rsidRPr="008F5E27">
        <w:rPr>
          <w:szCs w:val="28"/>
        </w:rPr>
        <w:t xml:space="preserve"> hỗn loạn gần đây của ngành ngân hàng, mặc dù đã được các cơ quan quản lý nhanh chóng ngăn chặn, nhưng đã bộc lộ những lỗ hổng tài chính khi lãi suất tăng nhanh. </w:t>
      </w:r>
      <w:r>
        <w:rPr>
          <w:szCs w:val="28"/>
        </w:rPr>
        <w:t xml:space="preserve">Về </w:t>
      </w:r>
      <w:r w:rsidRPr="008F5E27">
        <w:rPr>
          <w:szCs w:val="28"/>
        </w:rPr>
        <w:t xml:space="preserve">thị trường sản phẩm và dịch vụ, nguồn cung không theo kịp nhu cầu mạnh mẽ của người tiêu dùng, dẫn đến áp lực tăng giá liên tục và các lựa chọn chính sách tiền tệ phức tạp. Giá cao thường khuyến khích cung cấp nhiều hàng hóa và dịch vụ hơn, góp phần </w:t>
      </w:r>
      <w:r>
        <w:rPr>
          <w:szCs w:val="28"/>
        </w:rPr>
        <w:t xml:space="preserve">làm </w:t>
      </w:r>
      <w:r w:rsidRPr="008F5E27">
        <w:rPr>
          <w:szCs w:val="28"/>
        </w:rPr>
        <w:t xml:space="preserve">giảm áp lực giá, nhưng đến nay </w:t>
      </w:r>
      <w:r>
        <w:rPr>
          <w:szCs w:val="28"/>
        </w:rPr>
        <w:t xml:space="preserve">việc này </w:t>
      </w:r>
      <w:r w:rsidRPr="008F5E27">
        <w:rPr>
          <w:szCs w:val="28"/>
        </w:rPr>
        <w:t>vẫn chưa xảy ra, phần</w:t>
      </w:r>
      <w:r>
        <w:rPr>
          <w:szCs w:val="28"/>
        </w:rPr>
        <w:t xml:space="preserve"> nào</w:t>
      </w:r>
      <w:r w:rsidRPr="008F5E27">
        <w:rPr>
          <w:szCs w:val="28"/>
        </w:rPr>
        <w:t xml:space="preserve"> phản ánh những hạn chế của thị trường lao động. Hơn nữa, lãi suất cao hơn</w:t>
      </w:r>
      <w:r>
        <w:rPr>
          <w:szCs w:val="28"/>
        </w:rPr>
        <w:t xml:space="preserve"> </w:t>
      </w:r>
      <w:r w:rsidRPr="008F5E27">
        <w:rPr>
          <w:szCs w:val="28"/>
        </w:rPr>
        <w:t>và điều kiện thị trường tín dụng chặt hơn sẽ tiếp tục hạn chế nguồn cung hàng hóa và dịch vụ. Những đợt điều chỉnh giá sẽ làm suy yếu các hoạt động kinh tế trong nửa cuối năm và góp phần đẩy nền kinh tế suy thoái vào cuối năm 2023 và đầu năm 2024</w:t>
      </w:r>
      <w:r>
        <w:rPr>
          <w:szCs w:val="28"/>
        </w:rPr>
        <w:t>.</w:t>
      </w:r>
    </w:p>
    <w:p w14:paraId="3475C03F" w14:textId="77777777" w:rsidR="003C7376" w:rsidRDefault="003C7376" w:rsidP="00060AE9">
      <w:pPr>
        <w:spacing w:before="120" w:after="120" w:line="240" w:lineRule="auto"/>
        <w:ind w:firstLine="720"/>
        <w:jc w:val="both"/>
        <w:rPr>
          <w:szCs w:val="28"/>
        </w:rPr>
      </w:pPr>
      <w:r w:rsidRPr="009547E2">
        <w:rPr>
          <w:szCs w:val="28"/>
        </w:rPr>
        <w:t xml:space="preserve">Theo báo cáo sơ bộ Triển vọng kinh tế toàn cầu của </w:t>
      </w:r>
      <w:r>
        <w:rPr>
          <w:szCs w:val="28"/>
        </w:rPr>
        <w:t>t</w:t>
      </w:r>
      <w:r w:rsidRPr="009547E2">
        <w:rPr>
          <w:szCs w:val="28"/>
        </w:rPr>
        <w:t>ổ chức OECD</w:t>
      </w:r>
      <w:r>
        <w:rPr>
          <w:szCs w:val="28"/>
        </w:rPr>
        <w:t xml:space="preserve">, tăng trưởng GDP của Hoa Kỳ năm 2023 dự báo đạt 1,6%, giảm 0,5 điểm phần trăm so với tăng trưởng </w:t>
      </w:r>
      <w:r w:rsidR="005C3B25">
        <w:rPr>
          <w:szCs w:val="28"/>
        </w:rPr>
        <w:t>GDP</w:t>
      </w:r>
      <w:r>
        <w:rPr>
          <w:szCs w:val="28"/>
        </w:rPr>
        <w:t xml:space="preserve"> năm 2022 nhưng điều chỉnh tăng 0,1 điểm phần trăm so với dự báo OECD đưa ra trong tháng 3/2023.</w:t>
      </w:r>
      <w:r w:rsidRPr="009547E2">
        <w:rPr>
          <w:szCs w:val="28"/>
        </w:rPr>
        <w:t xml:space="preserve"> </w:t>
      </w:r>
    </w:p>
    <w:p w14:paraId="245D0808" w14:textId="77777777" w:rsidR="003C7376" w:rsidRDefault="003C7376" w:rsidP="00060AE9">
      <w:pPr>
        <w:spacing w:before="120" w:after="120" w:line="240" w:lineRule="auto"/>
        <w:ind w:firstLine="720"/>
        <w:jc w:val="both"/>
        <w:rPr>
          <w:szCs w:val="28"/>
        </w:rPr>
      </w:pPr>
      <w:r>
        <w:rPr>
          <w:szCs w:val="28"/>
        </w:rPr>
        <w:t>IMF</w:t>
      </w:r>
      <w:r>
        <w:rPr>
          <w:rStyle w:val="FootnoteReference"/>
          <w:szCs w:val="28"/>
        </w:rPr>
        <w:footnoteReference w:id="5"/>
      </w:r>
      <w:r>
        <w:rPr>
          <w:szCs w:val="28"/>
        </w:rPr>
        <w:t xml:space="preserve"> dự báo tăng trưởng kinh tế Hoa Kỳ năm 2023 đạt 1,6%, điều chỉnh tăng 0,2 điểm phần trăm so với dự báo trong tháng 01/2023. </w:t>
      </w:r>
    </w:p>
    <w:p w14:paraId="34AC66DA" w14:textId="77777777" w:rsidR="003C7376" w:rsidRDefault="003C7376" w:rsidP="002E581A">
      <w:pPr>
        <w:spacing w:before="120" w:after="120" w:line="240" w:lineRule="auto"/>
        <w:jc w:val="center"/>
        <w:rPr>
          <w:b/>
          <w:color w:val="000000" w:themeColor="text1"/>
          <w:szCs w:val="28"/>
        </w:rPr>
      </w:pPr>
      <w:r w:rsidRPr="00926E2E">
        <w:rPr>
          <w:b/>
          <w:color w:val="000000" w:themeColor="text1"/>
          <w:szCs w:val="28"/>
        </w:rPr>
        <w:t xml:space="preserve">Hình 2. </w:t>
      </w:r>
      <w:r w:rsidR="00DE117E">
        <w:rPr>
          <w:b/>
          <w:color w:val="000000" w:themeColor="text1"/>
          <w:szCs w:val="28"/>
        </w:rPr>
        <w:t>Đánh gi</w:t>
      </w:r>
      <w:r w:rsidR="009E7680">
        <w:rPr>
          <w:b/>
          <w:color w:val="000000" w:themeColor="text1"/>
          <w:szCs w:val="28"/>
        </w:rPr>
        <w:t>á</w:t>
      </w:r>
      <w:r w:rsidRPr="009D1900">
        <w:rPr>
          <w:b/>
          <w:color w:val="000000" w:themeColor="text1"/>
          <w:szCs w:val="28"/>
        </w:rPr>
        <w:t xml:space="preserve"> tăng trưởng của Hoa Kỳ năm 202</w:t>
      </w:r>
      <w:r>
        <w:rPr>
          <w:b/>
          <w:color w:val="000000" w:themeColor="text1"/>
          <w:szCs w:val="28"/>
        </w:rPr>
        <w:t>2</w:t>
      </w:r>
      <w:r w:rsidRPr="009D1900">
        <w:rPr>
          <w:b/>
          <w:color w:val="000000" w:themeColor="text1"/>
          <w:szCs w:val="28"/>
        </w:rPr>
        <w:t xml:space="preserve"> và </w:t>
      </w:r>
      <w:r w:rsidR="002947CA">
        <w:rPr>
          <w:b/>
          <w:color w:val="000000" w:themeColor="text1"/>
          <w:szCs w:val="28"/>
        </w:rPr>
        <w:t xml:space="preserve">dự báo năm </w:t>
      </w:r>
      <w:r w:rsidRPr="009D1900">
        <w:rPr>
          <w:b/>
          <w:color w:val="000000" w:themeColor="text1"/>
          <w:szCs w:val="28"/>
        </w:rPr>
        <w:t>202</w:t>
      </w:r>
      <w:r>
        <w:rPr>
          <w:b/>
          <w:color w:val="000000" w:themeColor="text1"/>
          <w:szCs w:val="28"/>
        </w:rPr>
        <w:t>3</w:t>
      </w:r>
    </w:p>
    <w:p w14:paraId="54F279EF" w14:textId="77777777" w:rsidR="003C7376" w:rsidRDefault="003C7376" w:rsidP="004735CB">
      <w:pPr>
        <w:spacing w:before="120" w:after="120" w:line="240" w:lineRule="auto"/>
        <w:jc w:val="center"/>
        <w:rPr>
          <w:b/>
          <w:color w:val="000000" w:themeColor="text1"/>
          <w:szCs w:val="28"/>
        </w:rPr>
      </w:pPr>
      <w:r>
        <w:rPr>
          <w:noProof/>
        </w:rPr>
        <w:drawing>
          <wp:inline distT="0" distB="0" distL="0" distR="0" wp14:anchorId="15F33119" wp14:editId="685C7C7A">
            <wp:extent cx="3533876" cy="190881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3C9D43" w14:textId="77777777" w:rsidR="003C7376" w:rsidRPr="00926E2E" w:rsidRDefault="003C7376" w:rsidP="00060AE9">
      <w:pPr>
        <w:spacing w:before="120" w:after="120" w:line="240" w:lineRule="auto"/>
        <w:ind w:firstLine="720"/>
        <w:jc w:val="both"/>
        <w:rPr>
          <w:sz w:val="24"/>
          <w:szCs w:val="28"/>
        </w:rPr>
      </w:pPr>
      <w:r w:rsidRPr="00926E2E">
        <w:rPr>
          <w:i/>
          <w:sz w:val="24"/>
          <w:szCs w:val="28"/>
        </w:rPr>
        <w:t xml:space="preserve">Nguồn: </w:t>
      </w:r>
      <w:r>
        <w:rPr>
          <w:i/>
          <w:sz w:val="24"/>
          <w:szCs w:val="28"/>
        </w:rPr>
        <w:t>IMF</w:t>
      </w:r>
      <w:r w:rsidRPr="00926E2E">
        <w:rPr>
          <w:i/>
          <w:sz w:val="24"/>
          <w:szCs w:val="28"/>
        </w:rPr>
        <w:t xml:space="preserve">, </w:t>
      </w:r>
      <w:r>
        <w:rPr>
          <w:i/>
          <w:sz w:val="24"/>
          <w:szCs w:val="28"/>
        </w:rPr>
        <w:t>OECD, WB, UNDESA</w:t>
      </w:r>
    </w:p>
    <w:p w14:paraId="6F8AABA0" w14:textId="77777777" w:rsidR="004735CB" w:rsidRDefault="004735CB" w:rsidP="004735CB">
      <w:pPr>
        <w:spacing w:before="120" w:after="120" w:line="240" w:lineRule="auto"/>
        <w:ind w:firstLine="720"/>
        <w:jc w:val="both"/>
        <w:rPr>
          <w:szCs w:val="28"/>
        </w:rPr>
      </w:pPr>
      <w:r>
        <w:rPr>
          <w:spacing w:val="-4"/>
          <w:szCs w:val="28"/>
        </w:rPr>
        <w:t>Theo Trading Economics, c</w:t>
      </w:r>
      <w:r w:rsidRPr="009D1900">
        <w:rPr>
          <w:spacing w:val="-4"/>
          <w:szCs w:val="28"/>
        </w:rPr>
        <w:t>hỉ số PMI</w:t>
      </w:r>
      <w:r>
        <w:rPr>
          <w:spacing w:val="-4"/>
          <w:szCs w:val="28"/>
        </w:rPr>
        <w:t xml:space="preserve"> tổng hợp</w:t>
      </w:r>
      <w:r w:rsidRPr="009D1900">
        <w:rPr>
          <w:spacing w:val="-4"/>
          <w:szCs w:val="28"/>
        </w:rPr>
        <w:t xml:space="preserve"> của Hoa Kỳ tháng </w:t>
      </w:r>
      <w:r>
        <w:rPr>
          <w:spacing w:val="-4"/>
          <w:szCs w:val="28"/>
        </w:rPr>
        <w:t>5</w:t>
      </w:r>
      <w:r w:rsidRPr="009D1900">
        <w:rPr>
          <w:spacing w:val="-4"/>
          <w:szCs w:val="28"/>
        </w:rPr>
        <w:t>/202</w:t>
      </w:r>
      <w:r>
        <w:rPr>
          <w:spacing w:val="-4"/>
          <w:szCs w:val="28"/>
        </w:rPr>
        <w:t>3</w:t>
      </w:r>
      <w:r w:rsidRPr="009D1900">
        <w:rPr>
          <w:spacing w:val="-4"/>
          <w:szCs w:val="28"/>
        </w:rPr>
        <w:t xml:space="preserve"> </w:t>
      </w:r>
      <w:r>
        <w:rPr>
          <w:spacing w:val="-4"/>
          <w:szCs w:val="28"/>
        </w:rPr>
        <w:t>đạt</w:t>
      </w:r>
      <w:r w:rsidRPr="009D1900">
        <w:rPr>
          <w:spacing w:val="-4"/>
          <w:szCs w:val="28"/>
        </w:rPr>
        <w:t xml:space="preserve"> </w:t>
      </w:r>
      <w:r>
        <w:rPr>
          <w:spacing w:val="-4"/>
          <w:szCs w:val="28"/>
        </w:rPr>
        <w:t>54,3</w:t>
      </w:r>
      <w:r w:rsidRPr="009D1900">
        <w:rPr>
          <w:spacing w:val="-4"/>
          <w:szCs w:val="28"/>
        </w:rPr>
        <w:t xml:space="preserve"> điểm, </w:t>
      </w:r>
      <w:r>
        <w:rPr>
          <w:spacing w:val="-4"/>
          <w:szCs w:val="28"/>
        </w:rPr>
        <w:t>cao hơn so với</w:t>
      </w:r>
      <w:r w:rsidRPr="009D1900">
        <w:rPr>
          <w:spacing w:val="-4"/>
          <w:szCs w:val="28"/>
        </w:rPr>
        <w:t xml:space="preserve"> mức </w:t>
      </w:r>
      <w:r>
        <w:rPr>
          <w:spacing w:val="-4"/>
          <w:szCs w:val="28"/>
        </w:rPr>
        <w:t>53,4</w:t>
      </w:r>
      <w:r w:rsidRPr="009D1900">
        <w:rPr>
          <w:spacing w:val="-4"/>
          <w:szCs w:val="28"/>
        </w:rPr>
        <w:t xml:space="preserve"> điểm của tháng </w:t>
      </w:r>
      <w:r>
        <w:rPr>
          <w:spacing w:val="-4"/>
          <w:szCs w:val="28"/>
        </w:rPr>
        <w:t>4</w:t>
      </w:r>
      <w:r w:rsidRPr="009D1900">
        <w:rPr>
          <w:spacing w:val="-4"/>
          <w:szCs w:val="28"/>
        </w:rPr>
        <w:t>/202</w:t>
      </w:r>
      <w:r>
        <w:rPr>
          <w:spacing w:val="-4"/>
          <w:szCs w:val="28"/>
        </w:rPr>
        <w:t>3</w:t>
      </w:r>
      <w:r w:rsidRPr="009D1900">
        <w:rPr>
          <w:spacing w:val="-4"/>
          <w:szCs w:val="28"/>
        </w:rPr>
        <w:t xml:space="preserve">. </w:t>
      </w:r>
      <w:r>
        <w:rPr>
          <w:spacing w:val="-4"/>
          <w:szCs w:val="28"/>
        </w:rPr>
        <w:t xml:space="preserve">Chỉ số này phản ánh mức tăng nhanh nhất của các hoạt động kinh doanh trong lĩnh vực dịch vụ hơn một năm qua, bù đắp cho tăng trưởng yếu đi của lĩnh vực sản xuất, chế biến chế tạo. </w:t>
      </w:r>
      <w:r w:rsidRPr="008F5E27">
        <w:rPr>
          <w:spacing w:val="-4"/>
          <w:szCs w:val="28"/>
        </w:rPr>
        <w:t xml:space="preserve">Tổng </w:t>
      </w:r>
      <w:r w:rsidRPr="008F5E27">
        <w:rPr>
          <w:spacing w:val="-4"/>
          <w:szCs w:val="28"/>
        </w:rPr>
        <w:lastRenderedPageBreak/>
        <w:t xml:space="preserve">số doanh nghiệp mới tiếp tục tăng, mặc dù thương mại hàng hóa </w:t>
      </w:r>
      <w:r>
        <w:rPr>
          <w:spacing w:val="-4"/>
          <w:szCs w:val="28"/>
        </w:rPr>
        <w:t>quốc tế</w:t>
      </w:r>
      <w:r w:rsidRPr="008F5E27">
        <w:rPr>
          <w:spacing w:val="-4"/>
          <w:szCs w:val="28"/>
        </w:rPr>
        <w:t xml:space="preserve"> giảm mạnh, việc làm tăng với tốc độ vững chắc và lượng công việc tồn đọng giảm</w:t>
      </w:r>
      <w:r>
        <w:rPr>
          <w:spacing w:val="-4"/>
          <w:szCs w:val="28"/>
        </w:rPr>
        <w:t xml:space="preserve"> đi kèm với </w:t>
      </w:r>
      <w:r w:rsidRPr="008F5E27">
        <w:rPr>
          <w:spacing w:val="-4"/>
          <w:szCs w:val="28"/>
        </w:rPr>
        <w:t>áp lực lạm phát giả</w:t>
      </w:r>
      <w:r>
        <w:rPr>
          <w:spacing w:val="-4"/>
          <w:szCs w:val="28"/>
        </w:rPr>
        <w:t>m.</w:t>
      </w:r>
    </w:p>
    <w:p w14:paraId="316A1292" w14:textId="77777777" w:rsidR="003C7376" w:rsidRPr="001D79BA" w:rsidRDefault="003C7376" w:rsidP="00060AE9">
      <w:pPr>
        <w:spacing w:before="120" w:after="120" w:line="240" w:lineRule="auto"/>
        <w:ind w:firstLine="720"/>
        <w:jc w:val="both"/>
        <w:rPr>
          <w:color w:val="000000" w:themeColor="text1"/>
        </w:rPr>
      </w:pPr>
      <w:r w:rsidRPr="009D1900">
        <w:rPr>
          <w:color w:val="000000" w:themeColor="text1"/>
        </w:rPr>
        <w:t>Trading Economics</w:t>
      </w:r>
      <w:r w:rsidRPr="009D1900">
        <w:rPr>
          <w:rStyle w:val="FootnoteReference"/>
          <w:color w:val="000000" w:themeColor="text1"/>
        </w:rPr>
        <w:footnoteReference w:id="6"/>
      </w:r>
      <w:r w:rsidRPr="009D1900">
        <w:rPr>
          <w:color w:val="000000" w:themeColor="text1"/>
        </w:rPr>
        <w:t xml:space="preserve"> dự báo tăng trưởng GDP Quý </w:t>
      </w:r>
      <w:r>
        <w:rPr>
          <w:color w:val="000000" w:themeColor="text1"/>
        </w:rPr>
        <w:t>I</w:t>
      </w:r>
      <w:r w:rsidRPr="009D1900">
        <w:rPr>
          <w:color w:val="000000" w:themeColor="text1"/>
        </w:rPr>
        <w:t>I/202</w:t>
      </w:r>
      <w:r>
        <w:rPr>
          <w:color w:val="000000" w:themeColor="text1"/>
        </w:rPr>
        <w:t>3</w:t>
      </w:r>
      <w:r w:rsidRPr="009D1900">
        <w:rPr>
          <w:color w:val="000000" w:themeColor="text1"/>
        </w:rPr>
        <w:t xml:space="preserve"> </w:t>
      </w:r>
      <w:r w:rsidR="00DE117E" w:rsidRPr="009D1900">
        <w:rPr>
          <w:color w:val="000000" w:themeColor="text1"/>
        </w:rPr>
        <w:t xml:space="preserve">của Hoa Kỳ </w:t>
      </w:r>
      <w:r w:rsidRPr="00110317">
        <w:rPr>
          <w:color w:val="000000" w:themeColor="text1"/>
        </w:rPr>
        <w:t>tăng</w:t>
      </w:r>
      <w:r w:rsidRPr="009D1900">
        <w:rPr>
          <w:color w:val="000000" w:themeColor="text1"/>
        </w:rPr>
        <w:t xml:space="preserve"> </w:t>
      </w:r>
      <w:r w:rsidRPr="008C1407">
        <w:rPr>
          <w:color w:val="000000" w:themeColor="text1"/>
        </w:rPr>
        <w:t>1,</w:t>
      </w:r>
      <w:r w:rsidR="005A2243" w:rsidRPr="008C1407">
        <w:rPr>
          <w:color w:val="000000" w:themeColor="text1"/>
        </w:rPr>
        <w:t>6</w:t>
      </w:r>
      <w:r w:rsidRPr="008C1407">
        <w:rPr>
          <w:color w:val="000000" w:themeColor="text1"/>
        </w:rPr>
        <w:t>%</w:t>
      </w:r>
      <w:r w:rsidRPr="00F014F6">
        <w:rPr>
          <w:color w:val="000000" w:themeColor="text1"/>
        </w:rPr>
        <w:t xml:space="preserve"> so với</w:t>
      </w:r>
      <w:r w:rsidRPr="009D1900">
        <w:rPr>
          <w:color w:val="000000" w:themeColor="text1"/>
        </w:rPr>
        <w:t xml:space="preserve"> quý trước và </w:t>
      </w:r>
      <w:r w:rsidRPr="00110317">
        <w:rPr>
          <w:color w:val="000000" w:themeColor="text1"/>
        </w:rPr>
        <w:t>tăng</w:t>
      </w:r>
      <w:r w:rsidRPr="009D1900">
        <w:rPr>
          <w:color w:val="000000" w:themeColor="text1"/>
        </w:rPr>
        <w:t xml:space="preserve"> </w:t>
      </w:r>
      <w:r>
        <w:rPr>
          <w:color w:val="000000" w:themeColor="text1"/>
        </w:rPr>
        <w:t>1,2</w:t>
      </w:r>
      <w:r w:rsidRPr="009D1900">
        <w:rPr>
          <w:color w:val="000000" w:themeColor="text1"/>
        </w:rPr>
        <w:t xml:space="preserve">% so với </w:t>
      </w:r>
      <w:r w:rsidR="00DE117E">
        <w:rPr>
          <w:color w:val="000000" w:themeColor="text1"/>
        </w:rPr>
        <w:t xml:space="preserve">cùng kỳ năm </w:t>
      </w:r>
      <w:r w:rsidRPr="009D1900">
        <w:rPr>
          <w:color w:val="000000" w:themeColor="text1"/>
        </w:rPr>
        <w:t>202</w:t>
      </w:r>
      <w:r>
        <w:rPr>
          <w:color w:val="000000" w:themeColor="text1"/>
        </w:rPr>
        <w:t>2</w:t>
      </w:r>
      <w:r w:rsidRPr="00A42EBD">
        <w:rPr>
          <w:szCs w:val="28"/>
          <w:lang w:val="vi-VN"/>
        </w:rPr>
        <w:t>.</w:t>
      </w:r>
    </w:p>
    <w:p w14:paraId="4D572F00" w14:textId="77777777" w:rsidR="003C7376" w:rsidRPr="00A42EBD" w:rsidRDefault="003C7376" w:rsidP="00060AE9">
      <w:pPr>
        <w:spacing w:before="120" w:after="120" w:line="240" w:lineRule="auto"/>
        <w:ind w:firstLine="720"/>
        <w:jc w:val="both"/>
        <w:rPr>
          <w:b/>
          <w:szCs w:val="28"/>
          <w:lang w:val="vi-VN"/>
        </w:rPr>
      </w:pPr>
      <w:r w:rsidRPr="00A42EBD">
        <w:rPr>
          <w:b/>
          <w:szCs w:val="28"/>
          <w:lang w:val="vi-VN"/>
        </w:rPr>
        <w:t>2. Khu vực đồng Euro</w:t>
      </w:r>
    </w:p>
    <w:p w14:paraId="24B2E32D" w14:textId="77777777" w:rsidR="003C7376" w:rsidRDefault="003C7376" w:rsidP="00060AE9">
      <w:pPr>
        <w:tabs>
          <w:tab w:val="left" w:pos="9072"/>
        </w:tabs>
        <w:spacing w:before="120" w:after="120" w:line="240" w:lineRule="auto"/>
        <w:ind w:firstLine="720"/>
        <w:jc w:val="both"/>
        <w:rPr>
          <w:spacing w:val="-4"/>
        </w:rPr>
      </w:pPr>
      <w:r w:rsidRPr="00C15ED9">
        <w:rPr>
          <w:spacing w:val="-4"/>
        </w:rPr>
        <w:t>UNDESA</w:t>
      </w:r>
      <w:r>
        <w:rPr>
          <w:spacing w:val="-4"/>
        </w:rPr>
        <w:t xml:space="preserve"> </w:t>
      </w:r>
      <w:r w:rsidR="00DE117E">
        <w:rPr>
          <w:spacing w:val="-4"/>
        </w:rPr>
        <w:t>dự báo</w:t>
      </w:r>
      <w:r>
        <w:rPr>
          <w:spacing w:val="-4"/>
        </w:rPr>
        <w:t xml:space="preserve"> </w:t>
      </w:r>
      <w:r w:rsidRPr="00C15ED9">
        <w:rPr>
          <w:spacing w:val="-4"/>
        </w:rPr>
        <w:t xml:space="preserve">tăng trưởng GDP khu vực đồng Euro </w:t>
      </w:r>
      <w:r>
        <w:rPr>
          <w:spacing w:val="-4"/>
        </w:rPr>
        <w:t>đạt</w:t>
      </w:r>
      <w:r w:rsidRPr="00C15ED9">
        <w:rPr>
          <w:spacing w:val="-4"/>
        </w:rPr>
        <w:t xml:space="preserve"> </w:t>
      </w:r>
      <w:r>
        <w:rPr>
          <w:spacing w:val="-4"/>
        </w:rPr>
        <w:t>0,9</w:t>
      </w:r>
      <w:r w:rsidRPr="00C15ED9">
        <w:rPr>
          <w:spacing w:val="-4"/>
        </w:rPr>
        <w:t>% năm 202</w:t>
      </w:r>
      <w:r>
        <w:rPr>
          <w:spacing w:val="-4"/>
        </w:rPr>
        <w:t>3</w:t>
      </w:r>
      <w:r w:rsidRPr="00C15ED9">
        <w:rPr>
          <w:spacing w:val="-4"/>
        </w:rPr>
        <w:t xml:space="preserve">, điều chỉnh </w:t>
      </w:r>
      <w:r>
        <w:rPr>
          <w:spacing w:val="-4"/>
        </w:rPr>
        <w:t>tăng</w:t>
      </w:r>
      <w:r w:rsidRPr="00C15ED9">
        <w:rPr>
          <w:spacing w:val="-4"/>
        </w:rPr>
        <w:t xml:space="preserve"> </w:t>
      </w:r>
      <w:r>
        <w:rPr>
          <w:spacing w:val="-4"/>
        </w:rPr>
        <w:t>0,8</w:t>
      </w:r>
      <w:r w:rsidRPr="00C15ED9">
        <w:rPr>
          <w:spacing w:val="-4"/>
        </w:rPr>
        <w:t xml:space="preserve"> điểm phần trăm so với dự báo đưa ra vào tháng </w:t>
      </w:r>
      <w:r>
        <w:rPr>
          <w:spacing w:val="-4"/>
        </w:rPr>
        <w:t>01</w:t>
      </w:r>
      <w:r w:rsidRPr="00C15ED9">
        <w:rPr>
          <w:spacing w:val="-4"/>
        </w:rPr>
        <w:t>/202</w:t>
      </w:r>
      <w:r>
        <w:rPr>
          <w:spacing w:val="-4"/>
        </w:rPr>
        <w:t>3</w:t>
      </w:r>
      <w:r w:rsidRPr="00C15ED9">
        <w:rPr>
          <w:spacing w:val="-4"/>
        </w:rPr>
        <w:t>.</w:t>
      </w:r>
      <w:r>
        <w:rPr>
          <w:spacing w:val="-4"/>
        </w:rPr>
        <w:t xml:space="preserve">  </w:t>
      </w:r>
    </w:p>
    <w:p w14:paraId="7DC1F675" w14:textId="77777777" w:rsidR="003C7376" w:rsidRDefault="003C7376" w:rsidP="00060AE9">
      <w:pPr>
        <w:tabs>
          <w:tab w:val="left" w:pos="9072"/>
        </w:tabs>
        <w:spacing w:before="120" w:after="120" w:line="240" w:lineRule="auto"/>
        <w:ind w:firstLine="720"/>
        <w:jc w:val="both"/>
        <w:rPr>
          <w:spacing w:val="-4"/>
        </w:rPr>
      </w:pPr>
      <w:r>
        <w:rPr>
          <w:spacing w:val="-4"/>
        </w:rPr>
        <w:t xml:space="preserve">Theo WB, GDP khu vực đồng Euro </w:t>
      </w:r>
      <w:r w:rsidRPr="00815E5A">
        <w:rPr>
          <w:spacing w:val="-4"/>
        </w:rPr>
        <w:t xml:space="preserve">tăng trưởng </w:t>
      </w:r>
      <w:r>
        <w:rPr>
          <w:spacing w:val="-4"/>
        </w:rPr>
        <w:t>mạnh</w:t>
      </w:r>
      <w:r w:rsidRPr="00815E5A">
        <w:rPr>
          <w:spacing w:val="-4"/>
        </w:rPr>
        <w:t xml:space="preserve"> hơn</w:t>
      </w:r>
      <w:r>
        <w:rPr>
          <w:spacing w:val="-4"/>
        </w:rPr>
        <w:t xml:space="preserve"> mức </w:t>
      </w:r>
      <w:r w:rsidRPr="00815E5A">
        <w:rPr>
          <w:spacing w:val="-4"/>
        </w:rPr>
        <w:t xml:space="preserve">dự </w:t>
      </w:r>
      <w:r>
        <w:rPr>
          <w:spacing w:val="-4"/>
        </w:rPr>
        <w:t>báo</w:t>
      </w:r>
      <w:r w:rsidRPr="00815E5A">
        <w:rPr>
          <w:spacing w:val="-4"/>
        </w:rPr>
        <w:t xml:space="preserve"> vào đầ</w:t>
      </w:r>
      <w:r>
        <w:rPr>
          <w:spacing w:val="-4"/>
        </w:rPr>
        <w:t>u năm</w:t>
      </w:r>
      <w:r w:rsidRPr="00815E5A">
        <w:rPr>
          <w:spacing w:val="-4"/>
        </w:rPr>
        <w:t xml:space="preserve"> </w:t>
      </w:r>
      <w:r>
        <w:rPr>
          <w:spacing w:val="-4"/>
        </w:rPr>
        <w:t xml:space="preserve">do </w:t>
      </w:r>
      <w:r w:rsidRPr="00815E5A">
        <w:rPr>
          <w:spacing w:val="-4"/>
        </w:rPr>
        <w:t xml:space="preserve">thời tiết ấm hơn và giá khí đốt tự nhiên </w:t>
      </w:r>
      <w:r>
        <w:rPr>
          <w:spacing w:val="-4"/>
        </w:rPr>
        <w:t>giảm</w:t>
      </w:r>
      <w:r w:rsidRPr="00815E5A">
        <w:rPr>
          <w:spacing w:val="-4"/>
        </w:rPr>
        <w:t>.</w:t>
      </w:r>
      <w:r>
        <w:rPr>
          <w:spacing w:val="-4"/>
        </w:rPr>
        <w:t xml:space="preserve"> WB dự báo tăng trưởng GDP khu vực đồng Euro đạt 0,4% năm 2023, điều chỉnh tăng 0,4 điểm phần trăm so với dự báo </w:t>
      </w:r>
      <w:r w:rsidR="00DE117E">
        <w:rPr>
          <w:spacing w:val="-4"/>
        </w:rPr>
        <w:t xml:space="preserve">đưa ra vào </w:t>
      </w:r>
      <w:r>
        <w:rPr>
          <w:spacing w:val="-4"/>
        </w:rPr>
        <w:t xml:space="preserve">tháng 01/2023. </w:t>
      </w:r>
    </w:p>
    <w:p w14:paraId="1518E0CA" w14:textId="77777777" w:rsidR="003C7376" w:rsidRDefault="003C7376" w:rsidP="00060AE9">
      <w:pPr>
        <w:spacing w:before="120" w:after="120" w:line="240" w:lineRule="auto"/>
        <w:ind w:firstLine="720"/>
        <w:jc w:val="both"/>
        <w:rPr>
          <w:spacing w:val="-4"/>
        </w:rPr>
      </w:pPr>
      <w:r>
        <w:rPr>
          <w:spacing w:val="-4"/>
        </w:rPr>
        <w:t>Theo OECD, t</w:t>
      </w:r>
      <w:r w:rsidRPr="00815E5A">
        <w:rPr>
          <w:spacing w:val="-4"/>
        </w:rPr>
        <w:t xml:space="preserve">ăng trưởng GDP </w:t>
      </w:r>
      <w:r>
        <w:rPr>
          <w:spacing w:val="-4"/>
        </w:rPr>
        <w:t xml:space="preserve">khu vực đồng Euro </w:t>
      </w:r>
      <w:r w:rsidRPr="00815E5A">
        <w:rPr>
          <w:spacing w:val="-4"/>
        </w:rPr>
        <w:t xml:space="preserve">dự </w:t>
      </w:r>
      <w:r>
        <w:rPr>
          <w:spacing w:val="-4"/>
        </w:rPr>
        <w:t>báo</w:t>
      </w:r>
      <w:r w:rsidRPr="00815E5A">
        <w:rPr>
          <w:spacing w:val="-4"/>
        </w:rPr>
        <w:t xml:space="preserve"> </w:t>
      </w:r>
      <w:r>
        <w:rPr>
          <w:spacing w:val="-4"/>
        </w:rPr>
        <w:t xml:space="preserve">đạt </w:t>
      </w:r>
      <w:r w:rsidRPr="00815E5A">
        <w:rPr>
          <w:spacing w:val="-4"/>
        </w:rPr>
        <w:t xml:space="preserve">0,9% năm 2023 </w:t>
      </w:r>
      <w:r>
        <w:rPr>
          <w:spacing w:val="-4"/>
        </w:rPr>
        <w:t>và</w:t>
      </w:r>
      <w:r w:rsidRPr="00815E5A">
        <w:rPr>
          <w:spacing w:val="-4"/>
        </w:rPr>
        <w:t xml:space="preserve"> tăng dần lên</w:t>
      </w:r>
      <w:r>
        <w:rPr>
          <w:spacing w:val="-4"/>
        </w:rPr>
        <w:t xml:space="preserve"> mức</w:t>
      </w:r>
      <w:r w:rsidRPr="00815E5A">
        <w:rPr>
          <w:spacing w:val="-4"/>
        </w:rPr>
        <w:t xml:space="preserve"> 1,5% năm 2024</w:t>
      </w:r>
      <w:r>
        <w:rPr>
          <w:spacing w:val="-4"/>
        </w:rPr>
        <w:t xml:space="preserve"> sau khi đạt tăng trưởng 3,5% năm 2022. Tăng trưởng GDP năm 2023 được điều chỉnh tăng 0,1 điểm phần trăm so với dự báo tháng 03/2023. Tiêu dùng tư nhân </w:t>
      </w:r>
      <w:r w:rsidRPr="00815E5A">
        <w:rPr>
          <w:spacing w:val="-4"/>
        </w:rPr>
        <w:t xml:space="preserve">được thị trường lao động </w:t>
      </w:r>
      <w:r>
        <w:rPr>
          <w:spacing w:val="-4"/>
        </w:rPr>
        <w:t xml:space="preserve">tăng trưởng </w:t>
      </w:r>
      <w:r w:rsidRPr="00815E5A">
        <w:rPr>
          <w:spacing w:val="-4"/>
        </w:rPr>
        <w:t>mạnh mẽ</w:t>
      </w:r>
      <w:r>
        <w:rPr>
          <w:spacing w:val="-4"/>
        </w:rPr>
        <w:t xml:space="preserve"> </w:t>
      </w:r>
      <w:r w:rsidRPr="00815E5A">
        <w:rPr>
          <w:spacing w:val="-4"/>
        </w:rPr>
        <w:t xml:space="preserve">hỗ trợ, </w:t>
      </w:r>
      <w:r>
        <w:rPr>
          <w:spacing w:val="-4"/>
        </w:rPr>
        <w:t>tuy nhiên</w:t>
      </w:r>
      <w:r w:rsidRPr="00815E5A">
        <w:rPr>
          <w:spacing w:val="-4"/>
        </w:rPr>
        <w:t xml:space="preserve"> chi phí tài chính cao hơn và </w:t>
      </w:r>
      <w:r>
        <w:rPr>
          <w:spacing w:val="-4"/>
        </w:rPr>
        <w:t>bất ổn</w:t>
      </w:r>
      <w:r w:rsidRPr="00815E5A">
        <w:rPr>
          <w:spacing w:val="-4"/>
        </w:rPr>
        <w:t xml:space="preserve"> sẽ ảnh hưởng đến đầu tư tư nhân. Giá năng lượng và lương thực thấp hơn giúp giảm lạm phát chung vào năm 2023, nhưng lạm phát cơ bản vẫn tăng cao. </w:t>
      </w:r>
      <w:r>
        <w:rPr>
          <w:spacing w:val="-4"/>
        </w:rPr>
        <w:t>R</w:t>
      </w:r>
      <w:r w:rsidRPr="00815E5A">
        <w:rPr>
          <w:spacing w:val="-4"/>
        </w:rPr>
        <w:t xml:space="preserve">ủi ro tiêu cực </w:t>
      </w:r>
      <w:r>
        <w:rPr>
          <w:spacing w:val="-4"/>
        </w:rPr>
        <w:t>vẫn còn tiềm ẩn khi</w:t>
      </w:r>
      <w:r w:rsidRPr="00815E5A">
        <w:rPr>
          <w:spacing w:val="-4"/>
        </w:rPr>
        <w:t xml:space="preserve"> </w:t>
      </w:r>
      <w:r>
        <w:rPr>
          <w:spacing w:val="-4"/>
        </w:rPr>
        <w:t xml:space="preserve">nguy cơ </w:t>
      </w:r>
      <w:r w:rsidRPr="00815E5A">
        <w:rPr>
          <w:spacing w:val="-4"/>
        </w:rPr>
        <w:t xml:space="preserve">tăng đột biến giá năng lượng </w:t>
      </w:r>
      <w:r>
        <w:rPr>
          <w:spacing w:val="-4"/>
        </w:rPr>
        <w:t xml:space="preserve">xảy ra </w:t>
      </w:r>
      <w:r w:rsidRPr="00815E5A">
        <w:rPr>
          <w:spacing w:val="-4"/>
        </w:rPr>
        <w:t xml:space="preserve">có thể </w:t>
      </w:r>
      <w:r>
        <w:rPr>
          <w:spacing w:val="-4"/>
        </w:rPr>
        <w:t>châm ngòi cho</w:t>
      </w:r>
      <w:r w:rsidRPr="00815E5A">
        <w:rPr>
          <w:spacing w:val="-4"/>
        </w:rPr>
        <w:t xml:space="preserve"> khủng hoảng năng lượng</w:t>
      </w:r>
      <w:r>
        <w:rPr>
          <w:spacing w:val="-4"/>
        </w:rPr>
        <w:t xml:space="preserve"> </w:t>
      </w:r>
      <w:r w:rsidRPr="00815E5A">
        <w:rPr>
          <w:spacing w:val="-4"/>
        </w:rPr>
        <w:t xml:space="preserve">và chính sách tiền tệ hạn chế có thể </w:t>
      </w:r>
      <w:r>
        <w:rPr>
          <w:spacing w:val="-4"/>
        </w:rPr>
        <w:t>làm</w:t>
      </w:r>
      <w:r w:rsidRPr="00815E5A">
        <w:rPr>
          <w:spacing w:val="-4"/>
        </w:rPr>
        <w:t xml:space="preserve"> lộ </w:t>
      </w:r>
      <w:r>
        <w:rPr>
          <w:spacing w:val="-4"/>
        </w:rPr>
        <w:t xml:space="preserve">ra </w:t>
      </w:r>
      <w:r w:rsidRPr="00815E5A">
        <w:rPr>
          <w:spacing w:val="-4"/>
        </w:rPr>
        <w:t>các lỗ hổng của khu vực tài chính.</w:t>
      </w:r>
      <w:r>
        <w:rPr>
          <w:spacing w:val="-4"/>
        </w:rPr>
        <w:t xml:space="preserve"> </w:t>
      </w:r>
      <w:r w:rsidRPr="00815E5A">
        <w:rPr>
          <w:spacing w:val="-4"/>
        </w:rPr>
        <w:t xml:space="preserve">Những bất ổn gần đây của ngành ngân hàng </w:t>
      </w:r>
      <w:r>
        <w:rPr>
          <w:spacing w:val="-4"/>
        </w:rPr>
        <w:t>Hoa Kỳ</w:t>
      </w:r>
      <w:r w:rsidRPr="00815E5A">
        <w:rPr>
          <w:spacing w:val="-4"/>
        </w:rPr>
        <w:t xml:space="preserve"> không </w:t>
      </w:r>
      <w:r>
        <w:rPr>
          <w:spacing w:val="-4"/>
        </w:rPr>
        <w:t xml:space="preserve">lây </w:t>
      </w:r>
      <w:r w:rsidRPr="00815E5A">
        <w:rPr>
          <w:spacing w:val="-4"/>
        </w:rPr>
        <w:t xml:space="preserve">lan trực tiếp sang khu vực đồng </w:t>
      </w:r>
      <w:r>
        <w:rPr>
          <w:spacing w:val="-4"/>
        </w:rPr>
        <w:t>E</w:t>
      </w:r>
      <w:r w:rsidRPr="00815E5A">
        <w:rPr>
          <w:spacing w:val="-4"/>
        </w:rPr>
        <w:t>uro</w:t>
      </w:r>
      <w:r w:rsidR="000C4AE0">
        <w:rPr>
          <w:spacing w:val="-4"/>
        </w:rPr>
        <w:t>,</w:t>
      </w:r>
      <w:r w:rsidRPr="00815E5A">
        <w:rPr>
          <w:spacing w:val="-4"/>
        </w:rPr>
        <w:t xml:space="preserve"> </w:t>
      </w:r>
      <w:r w:rsidR="000C4AE0">
        <w:rPr>
          <w:spacing w:val="-4"/>
        </w:rPr>
        <w:t>t</w:t>
      </w:r>
      <w:r w:rsidRPr="00815E5A">
        <w:rPr>
          <w:spacing w:val="-4"/>
        </w:rPr>
        <w:t xml:space="preserve">uy nhiên, căng thẳng thị trường </w:t>
      </w:r>
      <w:r w:rsidR="005C3B25">
        <w:rPr>
          <w:spacing w:val="-4"/>
        </w:rPr>
        <w:t xml:space="preserve">tài chính </w:t>
      </w:r>
      <w:r w:rsidRPr="00815E5A">
        <w:rPr>
          <w:spacing w:val="-4"/>
        </w:rPr>
        <w:t xml:space="preserve">đã dẫn đến sự sụt giảm </w:t>
      </w:r>
      <w:r>
        <w:rPr>
          <w:spacing w:val="-4"/>
        </w:rPr>
        <w:t>mạnh về</w:t>
      </w:r>
      <w:r w:rsidRPr="00815E5A">
        <w:rPr>
          <w:spacing w:val="-4"/>
        </w:rPr>
        <w:t xml:space="preserve"> giá vốn cổ phần của ngân hàng, làm tăng chi phí vốn. </w:t>
      </w:r>
      <w:r>
        <w:rPr>
          <w:spacing w:val="-4"/>
        </w:rPr>
        <w:t xml:space="preserve">Ngân hàng Trung ương châu Âu (ECB) vẫn </w:t>
      </w:r>
      <w:r w:rsidRPr="00815E5A">
        <w:rPr>
          <w:spacing w:val="-4"/>
        </w:rPr>
        <w:t>tiếp tục thắt chặt chính sách tiền tệ</w:t>
      </w:r>
      <w:r>
        <w:rPr>
          <w:spacing w:val="-4"/>
        </w:rPr>
        <w:t>.</w:t>
      </w:r>
      <w:r w:rsidRPr="00815E5A">
        <w:rPr>
          <w:spacing w:val="-4"/>
        </w:rPr>
        <w:t xml:space="preserve"> </w:t>
      </w:r>
    </w:p>
    <w:p w14:paraId="767469A4" w14:textId="77777777" w:rsidR="003C7376" w:rsidRPr="008C1407" w:rsidRDefault="003C7376" w:rsidP="00060AE9">
      <w:pPr>
        <w:spacing w:before="120" w:after="120" w:line="240" w:lineRule="auto"/>
        <w:ind w:firstLine="720"/>
        <w:jc w:val="both"/>
        <w:rPr>
          <w:spacing w:val="-6"/>
          <w:szCs w:val="28"/>
        </w:rPr>
      </w:pPr>
      <w:r w:rsidRPr="008C1407">
        <w:rPr>
          <w:spacing w:val="-6"/>
          <w:szCs w:val="28"/>
        </w:rPr>
        <w:t xml:space="preserve">IMF dự báo tăng trưởng của khu vực đồng Euro năm 2023 </w:t>
      </w:r>
      <w:r w:rsidR="0013479B" w:rsidRPr="008C1407">
        <w:rPr>
          <w:spacing w:val="-6"/>
          <w:szCs w:val="28"/>
        </w:rPr>
        <w:t>đạt</w:t>
      </w:r>
      <w:r w:rsidRPr="008C1407">
        <w:rPr>
          <w:spacing w:val="-6"/>
          <w:szCs w:val="28"/>
        </w:rPr>
        <w:t xml:space="preserve"> 0,8%, điều chỉnh tăng 0,1 điểm phần trăm so với dự báo đưa ra vào tháng 01/2023</w:t>
      </w:r>
      <w:r w:rsidRPr="008C1407">
        <w:rPr>
          <w:spacing w:val="-6"/>
        </w:rPr>
        <w:t>.</w:t>
      </w:r>
      <w:r w:rsidR="005C3B25" w:rsidRPr="008C1407">
        <w:rPr>
          <w:spacing w:val="-6"/>
        </w:rPr>
        <w:t xml:space="preserve"> Mức dự báo tăng trưởng này thấp hơn nhiều so với tăng trưởng GDP </w:t>
      </w:r>
      <w:r w:rsidR="00317E37" w:rsidRPr="008C1407">
        <w:rPr>
          <w:spacing w:val="-6"/>
        </w:rPr>
        <w:t xml:space="preserve">3,5% </w:t>
      </w:r>
      <w:r w:rsidR="005C3B25" w:rsidRPr="008C1407">
        <w:rPr>
          <w:spacing w:val="-6"/>
        </w:rPr>
        <w:t>năm 2022 của khu vực</w:t>
      </w:r>
      <w:r w:rsidR="0013479B" w:rsidRPr="008C1407">
        <w:rPr>
          <w:spacing w:val="-6"/>
        </w:rPr>
        <w:t xml:space="preserve"> này</w:t>
      </w:r>
      <w:r w:rsidR="005C3B25" w:rsidRPr="008C1407">
        <w:rPr>
          <w:spacing w:val="-6"/>
        </w:rPr>
        <w:t>.</w:t>
      </w:r>
      <w:r w:rsidRPr="008C1407">
        <w:rPr>
          <w:spacing w:val="-6"/>
          <w:highlight w:val="yellow"/>
        </w:rPr>
        <w:t xml:space="preserve">  </w:t>
      </w:r>
    </w:p>
    <w:p w14:paraId="6B05A49F" w14:textId="77777777" w:rsidR="00470134" w:rsidRDefault="003C7376" w:rsidP="002E581A">
      <w:pPr>
        <w:shd w:val="clear" w:color="auto" w:fill="FFFFFF"/>
        <w:spacing w:before="120" w:after="120" w:line="240" w:lineRule="auto"/>
        <w:jc w:val="center"/>
        <w:rPr>
          <w:b/>
          <w:color w:val="000000" w:themeColor="text1"/>
          <w:szCs w:val="28"/>
        </w:rPr>
      </w:pPr>
      <w:r w:rsidRPr="009D1900">
        <w:rPr>
          <w:b/>
          <w:color w:val="000000" w:themeColor="text1"/>
          <w:szCs w:val="28"/>
        </w:rPr>
        <w:t xml:space="preserve">Hình 3. </w:t>
      </w:r>
      <w:r w:rsidR="00DE117E">
        <w:rPr>
          <w:b/>
          <w:color w:val="000000" w:themeColor="text1"/>
          <w:szCs w:val="28"/>
        </w:rPr>
        <w:t>Đánh giá</w:t>
      </w:r>
      <w:r w:rsidRPr="009D1900">
        <w:rPr>
          <w:b/>
          <w:color w:val="000000" w:themeColor="text1"/>
          <w:szCs w:val="28"/>
        </w:rPr>
        <w:t xml:space="preserve"> tăng trưởng của khu vực đồng Euro năm 202</w:t>
      </w:r>
      <w:r>
        <w:rPr>
          <w:b/>
          <w:color w:val="000000" w:themeColor="text1"/>
          <w:szCs w:val="28"/>
        </w:rPr>
        <w:t>2</w:t>
      </w:r>
      <w:r w:rsidRPr="009D1900">
        <w:rPr>
          <w:b/>
          <w:color w:val="000000" w:themeColor="text1"/>
          <w:szCs w:val="28"/>
        </w:rPr>
        <w:t xml:space="preserve"> và </w:t>
      </w:r>
      <w:r w:rsidR="002947CA">
        <w:rPr>
          <w:b/>
          <w:color w:val="000000" w:themeColor="text1"/>
          <w:szCs w:val="28"/>
        </w:rPr>
        <w:t xml:space="preserve">dự báo năm </w:t>
      </w:r>
      <w:r w:rsidRPr="009D1900">
        <w:rPr>
          <w:b/>
          <w:color w:val="000000" w:themeColor="text1"/>
          <w:szCs w:val="28"/>
        </w:rPr>
        <w:t>202</w:t>
      </w:r>
      <w:r>
        <w:rPr>
          <w:b/>
          <w:color w:val="000000" w:themeColor="text1"/>
          <w:szCs w:val="28"/>
        </w:rPr>
        <w:t>3</w:t>
      </w:r>
    </w:p>
    <w:p w14:paraId="52896544" w14:textId="77777777" w:rsidR="003C7376" w:rsidRPr="001D79BA" w:rsidRDefault="003C7376" w:rsidP="00060AE9">
      <w:pPr>
        <w:shd w:val="clear" w:color="auto" w:fill="FFFFFF"/>
        <w:spacing w:before="120" w:after="120" w:line="240" w:lineRule="auto"/>
        <w:ind w:firstLine="720"/>
        <w:jc w:val="center"/>
        <w:rPr>
          <w:color w:val="000000" w:themeColor="text1"/>
          <w:szCs w:val="28"/>
        </w:rPr>
      </w:pPr>
      <w:r>
        <w:rPr>
          <w:noProof/>
        </w:rPr>
        <w:drawing>
          <wp:inline distT="0" distB="0" distL="0" distR="0" wp14:anchorId="385F7486" wp14:editId="6AC7869D">
            <wp:extent cx="3677869" cy="187261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FEC521" w14:textId="77777777" w:rsidR="003C7376" w:rsidRDefault="003C7376" w:rsidP="00060AE9">
      <w:pPr>
        <w:spacing w:before="120" w:after="120" w:line="240" w:lineRule="auto"/>
        <w:ind w:firstLine="720"/>
        <w:jc w:val="both"/>
        <w:rPr>
          <w:i/>
          <w:sz w:val="24"/>
          <w:szCs w:val="28"/>
        </w:rPr>
      </w:pPr>
      <w:r w:rsidRPr="009D1900">
        <w:rPr>
          <w:i/>
          <w:sz w:val="24"/>
          <w:szCs w:val="28"/>
        </w:rPr>
        <w:lastRenderedPageBreak/>
        <w:t xml:space="preserve">Nguồn: </w:t>
      </w:r>
      <w:r>
        <w:rPr>
          <w:i/>
          <w:sz w:val="24"/>
          <w:szCs w:val="28"/>
        </w:rPr>
        <w:t>IMF</w:t>
      </w:r>
      <w:r w:rsidRPr="00926E2E">
        <w:rPr>
          <w:i/>
          <w:sz w:val="24"/>
          <w:szCs w:val="28"/>
        </w:rPr>
        <w:t xml:space="preserve">, </w:t>
      </w:r>
      <w:r>
        <w:rPr>
          <w:i/>
          <w:sz w:val="24"/>
          <w:szCs w:val="28"/>
        </w:rPr>
        <w:t>OECD, WB, UNDESA</w:t>
      </w:r>
    </w:p>
    <w:p w14:paraId="77DD849C" w14:textId="77777777" w:rsidR="003C7376" w:rsidRPr="00AF21BE" w:rsidRDefault="003C7376" w:rsidP="00060AE9">
      <w:pPr>
        <w:tabs>
          <w:tab w:val="left" w:pos="9072"/>
        </w:tabs>
        <w:spacing w:before="120" w:after="120" w:line="240" w:lineRule="auto"/>
        <w:ind w:firstLine="720"/>
        <w:jc w:val="both"/>
        <w:rPr>
          <w:color w:val="000000" w:themeColor="text1"/>
          <w:szCs w:val="28"/>
        </w:rPr>
      </w:pPr>
      <w:r w:rsidRPr="009D1900">
        <w:rPr>
          <w:szCs w:val="28"/>
        </w:rPr>
        <w:t xml:space="preserve">Chỉ số PMI tổng hợp trong tháng </w:t>
      </w:r>
      <w:r>
        <w:rPr>
          <w:szCs w:val="28"/>
        </w:rPr>
        <w:t>5</w:t>
      </w:r>
      <w:r w:rsidRPr="009D1900">
        <w:rPr>
          <w:szCs w:val="28"/>
        </w:rPr>
        <w:t>/202</w:t>
      </w:r>
      <w:r>
        <w:rPr>
          <w:szCs w:val="28"/>
        </w:rPr>
        <w:t>3</w:t>
      </w:r>
      <w:r w:rsidRPr="009D1900">
        <w:rPr>
          <w:szCs w:val="28"/>
        </w:rPr>
        <w:t xml:space="preserve"> của khu vực đồng Euro </w:t>
      </w:r>
      <w:r>
        <w:rPr>
          <w:szCs w:val="28"/>
        </w:rPr>
        <w:t>điều chỉnh giảm từ mức ước tính sơ bộ 53,3 điểm xuống còn 52,8 điểm và thấp hơn mức 54,1</w:t>
      </w:r>
      <w:r w:rsidRPr="009D1900">
        <w:rPr>
          <w:szCs w:val="28"/>
        </w:rPr>
        <w:t xml:space="preserve"> điểm</w:t>
      </w:r>
      <w:r>
        <w:rPr>
          <w:szCs w:val="28"/>
        </w:rPr>
        <w:t xml:space="preserve"> của tháng 4/2023</w:t>
      </w:r>
      <w:r w:rsidRPr="00D52E75">
        <w:rPr>
          <w:szCs w:val="28"/>
        </w:rPr>
        <w:t xml:space="preserve">. </w:t>
      </w:r>
      <w:r>
        <w:rPr>
          <w:szCs w:val="28"/>
        </w:rPr>
        <w:t xml:space="preserve">Chỉ số này </w:t>
      </w:r>
      <w:r w:rsidRPr="00815E5A">
        <w:rPr>
          <w:color w:val="000000" w:themeColor="text1"/>
          <w:szCs w:val="28"/>
        </w:rPr>
        <w:t>đánh dấu lần đầu tiên tăng trưởng chậm lại kể từ khi hoạt động kinh tế bắt đầu tăng trở lại vào đầu năm 2023</w:t>
      </w:r>
      <w:r>
        <w:rPr>
          <w:color w:val="000000" w:themeColor="text1"/>
          <w:szCs w:val="28"/>
        </w:rPr>
        <w:t xml:space="preserve">. </w:t>
      </w:r>
      <w:r w:rsidRPr="00815E5A">
        <w:rPr>
          <w:color w:val="000000" w:themeColor="text1"/>
          <w:szCs w:val="28"/>
        </w:rPr>
        <w:t xml:space="preserve">Hoạt động dịch vụ tiếp tục tăng </w:t>
      </w:r>
      <w:r>
        <w:rPr>
          <w:color w:val="000000" w:themeColor="text1"/>
          <w:szCs w:val="28"/>
        </w:rPr>
        <w:t xml:space="preserve">nhưng </w:t>
      </w:r>
      <w:r w:rsidRPr="00815E5A">
        <w:rPr>
          <w:color w:val="000000" w:themeColor="text1"/>
          <w:szCs w:val="28"/>
        </w:rPr>
        <w:t>tốc độ</w:t>
      </w:r>
      <w:r>
        <w:rPr>
          <w:color w:val="000000" w:themeColor="text1"/>
          <w:szCs w:val="28"/>
        </w:rPr>
        <w:t xml:space="preserve"> đã</w:t>
      </w:r>
      <w:r w:rsidRPr="00815E5A">
        <w:rPr>
          <w:color w:val="000000" w:themeColor="text1"/>
          <w:szCs w:val="28"/>
        </w:rPr>
        <w:t xml:space="preserve"> chậm </w:t>
      </w:r>
      <w:r>
        <w:rPr>
          <w:color w:val="000000" w:themeColor="text1"/>
          <w:szCs w:val="28"/>
        </w:rPr>
        <w:t>lại</w:t>
      </w:r>
      <w:r w:rsidRPr="00815E5A">
        <w:rPr>
          <w:color w:val="000000" w:themeColor="text1"/>
          <w:szCs w:val="28"/>
        </w:rPr>
        <w:t xml:space="preserve">, </w:t>
      </w:r>
      <w:r w:rsidR="00317E37">
        <w:rPr>
          <w:color w:val="000000" w:themeColor="text1"/>
          <w:szCs w:val="28"/>
        </w:rPr>
        <w:t xml:space="preserve">trong đó </w:t>
      </w:r>
      <w:r>
        <w:rPr>
          <w:color w:val="000000" w:themeColor="text1"/>
          <w:szCs w:val="28"/>
        </w:rPr>
        <w:t xml:space="preserve">ngành </w:t>
      </w:r>
      <w:r w:rsidRPr="00815E5A">
        <w:rPr>
          <w:color w:val="000000" w:themeColor="text1"/>
          <w:szCs w:val="28"/>
        </w:rPr>
        <w:t>sản xuất</w:t>
      </w:r>
      <w:r>
        <w:rPr>
          <w:color w:val="000000" w:themeColor="text1"/>
          <w:szCs w:val="28"/>
        </w:rPr>
        <w:t>,</w:t>
      </w:r>
      <w:r w:rsidRPr="00815E5A">
        <w:rPr>
          <w:color w:val="000000" w:themeColor="text1"/>
          <w:szCs w:val="28"/>
        </w:rPr>
        <w:t xml:space="preserve"> </w:t>
      </w:r>
      <w:r>
        <w:rPr>
          <w:color w:val="000000" w:themeColor="text1"/>
          <w:szCs w:val="28"/>
        </w:rPr>
        <w:t xml:space="preserve">chế biến </w:t>
      </w:r>
      <w:r w:rsidRPr="00815E5A">
        <w:rPr>
          <w:color w:val="000000" w:themeColor="text1"/>
          <w:szCs w:val="28"/>
        </w:rPr>
        <w:t xml:space="preserve">chế tạo giảm do số lượng đơn đặt hàng giảm nhanh chóng. </w:t>
      </w:r>
    </w:p>
    <w:p w14:paraId="08355E2B" w14:textId="77777777" w:rsidR="003C7376" w:rsidRPr="00A42EBD" w:rsidRDefault="003C7376" w:rsidP="00060AE9">
      <w:pPr>
        <w:spacing w:before="120" w:after="120" w:line="240" w:lineRule="auto"/>
        <w:ind w:firstLine="720"/>
        <w:jc w:val="both"/>
        <w:rPr>
          <w:szCs w:val="28"/>
          <w:lang w:val="vi-VN"/>
        </w:rPr>
      </w:pPr>
      <w:r>
        <w:rPr>
          <w:color w:val="000000" w:themeColor="text1"/>
          <w:spacing w:val="-4"/>
        </w:rPr>
        <w:t>T</w:t>
      </w:r>
      <w:r w:rsidRPr="009D1900">
        <w:rPr>
          <w:color w:val="000000" w:themeColor="text1"/>
          <w:spacing w:val="-4"/>
        </w:rPr>
        <w:t>heo Trading Economics</w:t>
      </w:r>
      <w:r w:rsidRPr="009D1900">
        <w:rPr>
          <w:rStyle w:val="FootnoteReference"/>
          <w:color w:val="000000" w:themeColor="text1"/>
          <w:spacing w:val="-4"/>
        </w:rPr>
        <w:footnoteReference w:id="7"/>
      </w:r>
      <w:r w:rsidR="00214298">
        <w:rPr>
          <w:color w:val="000000" w:themeColor="text1"/>
          <w:spacing w:val="-4"/>
        </w:rPr>
        <w:t>, G</w:t>
      </w:r>
      <w:r w:rsidRPr="009D1900">
        <w:rPr>
          <w:color w:val="000000" w:themeColor="text1"/>
          <w:spacing w:val="-4"/>
        </w:rPr>
        <w:t>DP Quý I</w:t>
      </w:r>
      <w:r>
        <w:rPr>
          <w:color w:val="000000" w:themeColor="text1"/>
          <w:spacing w:val="-4"/>
        </w:rPr>
        <w:t>I</w:t>
      </w:r>
      <w:r w:rsidRPr="009D1900">
        <w:rPr>
          <w:color w:val="000000" w:themeColor="text1"/>
          <w:spacing w:val="-4"/>
        </w:rPr>
        <w:t>/202</w:t>
      </w:r>
      <w:r>
        <w:rPr>
          <w:color w:val="000000" w:themeColor="text1"/>
          <w:spacing w:val="-4"/>
        </w:rPr>
        <w:t>3</w:t>
      </w:r>
      <w:r w:rsidRPr="009D1900">
        <w:rPr>
          <w:color w:val="000000" w:themeColor="text1"/>
          <w:spacing w:val="-4"/>
        </w:rPr>
        <w:t xml:space="preserve"> của khu vực đồng Euro </w:t>
      </w:r>
      <w:r>
        <w:rPr>
          <w:color w:val="000000" w:themeColor="text1"/>
          <w:spacing w:val="-4"/>
        </w:rPr>
        <w:t>dự báo tăng</w:t>
      </w:r>
      <w:r w:rsidRPr="00110317">
        <w:rPr>
          <w:color w:val="000000" w:themeColor="text1"/>
          <w:spacing w:val="-4"/>
        </w:rPr>
        <w:t xml:space="preserve"> 0,</w:t>
      </w:r>
      <w:r>
        <w:rPr>
          <w:color w:val="000000" w:themeColor="text1"/>
          <w:spacing w:val="-4"/>
        </w:rPr>
        <w:t>3</w:t>
      </w:r>
      <w:r w:rsidRPr="00110317">
        <w:rPr>
          <w:color w:val="000000" w:themeColor="text1"/>
          <w:spacing w:val="-4"/>
        </w:rPr>
        <w:t>%</w:t>
      </w:r>
      <w:r w:rsidRPr="009D1900">
        <w:rPr>
          <w:color w:val="000000" w:themeColor="text1"/>
          <w:spacing w:val="-4"/>
        </w:rPr>
        <w:t xml:space="preserve"> so vớ</w:t>
      </w:r>
      <w:r>
        <w:rPr>
          <w:color w:val="000000" w:themeColor="text1"/>
          <w:spacing w:val="-4"/>
        </w:rPr>
        <w:t>i Quý I/2023</w:t>
      </w:r>
      <w:r w:rsidRPr="009D1900">
        <w:rPr>
          <w:color w:val="000000" w:themeColor="text1"/>
          <w:spacing w:val="-4"/>
        </w:rPr>
        <w:t xml:space="preserve"> và </w:t>
      </w:r>
      <w:r>
        <w:rPr>
          <w:color w:val="000000" w:themeColor="text1"/>
          <w:spacing w:val="-4"/>
        </w:rPr>
        <w:t>tăng 0,4</w:t>
      </w:r>
      <w:r w:rsidRPr="009D1900">
        <w:rPr>
          <w:color w:val="000000" w:themeColor="text1"/>
          <w:spacing w:val="-4"/>
        </w:rPr>
        <w:t>% so với cùng kỳ năm trướ</w:t>
      </w:r>
      <w:r>
        <w:rPr>
          <w:color w:val="000000" w:themeColor="text1"/>
          <w:spacing w:val="-4"/>
        </w:rPr>
        <w:t>c.</w:t>
      </w:r>
      <w:r w:rsidRPr="00A42EBD">
        <w:rPr>
          <w:spacing w:val="-4"/>
          <w:highlight w:val="yellow"/>
          <w:lang w:val="vi-VN"/>
        </w:rPr>
        <w:t xml:space="preserve"> </w:t>
      </w:r>
    </w:p>
    <w:p w14:paraId="026A5717" w14:textId="77777777" w:rsidR="003C7376" w:rsidRPr="00A42EBD" w:rsidRDefault="003C7376" w:rsidP="00060AE9">
      <w:pPr>
        <w:spacing w:before="120" w:after="120" w:line="240" w:lineRule="auto"/>
        <w:ind w:firstLine="720"/>
        <w:jc w:val="both"/>
        <w:rPr>
          <w:b/>
          <w:szCs w:val="28"/>
          <w:lang w:val="vi-VN"/>
        </w:rPr>
      </w:pPr>
      <w:r w:rsidRPr="00A42EBD">
        <w:rPr>
          <w:b/>
          <w:szCs w:val="28"/>
          <w:lang w:val="vi-VN"/>
        </w:rPr>
        <w:t>3. Nhật Bản</w:t>
      </w:r>
    </w:p>
    <w:p w14:paraId="449BBB10" w14:textId="77777777" w:rsidR="003C7376" w:rsidRPr="00815E5A" w:rsidRDefault="003C7376" w:rsidP="00060AE9">
      <w:pPr>
        <w:spacing w:before="120" w:after="120" w:line="240" w:lineRule="auto"/>
        <w:ind w:firstLine="720"/>
        <w:jc w:val="both"/>
        <w:rPr>
          <w:spacing w:val="-2"/>
        </w:rPr>
      </w:pPr>
      <w:r w:rsidRPr="00CB645C">
        <w:rPr>
          <w:spacing w:val="-2"/>
        </w:rPr>
        <w:t xml:space="preserve">Theo WB, </w:t>
      </w:r>
      <w:r w:rsidRPr="00815E5A">
        <w:rPr>
          <w:spacing w:val="-2"/>
        </w:rPr>
        <w:t xml:space="preserve">tăng trưởng </w:t>
      </w:r>
      <w:r>
        <w:rPr>
          <w:spacing w:val="-2"/>
        </w:rPr>
        <w:t xml:space="preserve">GDP của nền kinh tế Nhật Bản </w:t>
      </w:r>
      <w:r w:rsidRPr="00815E5A">
        <w:rPr>
          <w:spacing w:val="-2"/>
        </w:rPr>
        <w:t xml:space="preserve">dự </w:t>
      </w:r>
      <w:r>
        <w:rPr>
          <w:spacing w:val="-2"/>
        </w:rPr>
        <w:t>báo</w:t>
      </w:r>
      <w:r w:rsidRPr="00815E5A">
        <w:rPr>
          <w:spacing w:val="-2"/>
        </w:rPr>
        <w:t xml:space="preserve"> sẽ chậm lại</w:t>
      </w:r>
      <w:r w:rsidR="0013479B">
        <w:rPr>
          <w:spacing w:val="-2"/>
        </w:rPr>
        <w:t>, đạt</w:t>
      </w:r>
      <w:r w:rsidRPr="00815E5A">
        <w:rPr>
          <w:spacing w:val="-2"/>
        </w:rPr>
        <w:t xml:space="preserve"> 0,8</w:t>
      </w:r>
      <w:r>
        <w:rPr>
          <w:spacing w:val="-2"/>
        </w:rPr>
        <w:t xml:space="preserve">% </w:t>
      </w:r>
      <w:r w:rsidRPr="00815E5A">
        <w:rPr>
          <w:spacing w:val="-2"/>
        </w:rPr>
        <w:t>năm 2023</w:t>
      </w:r>
      <w:r>
        <w:rPr>
          <w:spacing w:val="-2"/>
        </w:rPr>
        <w:t xml:space="preserve"> sau khi đạt 1</w:t>
      </w:r>
      <w:r w:rsidR="0013479B">
        <w:rPr>
          <w:spacing w:val="-2"/>
        </w:rPr>
        <w:t>,0</w:t>
      </w:r>
      <w:r>
        <w:rPr>
          <w:spacing w:val="-2"/>
        </w:rPr>
        <w:t xml:space="preserve">% </w:t>
      </w:r>
      <w:r w:rsidR="0013479B">
        <w:rPr>
          <w:spacing w:val="-2"/>
        </w:rPr>
        <w:t xml:space="preserve">trong </w:t>
      </w:r>
      <w:r>
        <w:rPr>
          <w:spacing w:val="-2"/>
        </w:rPr>
        <w:t>năm 2022. WB</w:t>
      </w:r>
      <w:r w:rsidRPr="00815E5A">
        <w:rPr>
          <w:spacing w:val="-2"/>
        </w:rPr>
        <w:t xml:space="preserve"> </w:t>
      </w:r>
      <w:r>
        <w:rPr>
          <w:spacing w:val="-2"/>
        </w:rPr>
        <w:t>điều chỉnh giảm dự báo kinh tế Nhật Bản xuống 0,2 điểm phần trăm</w:t>
      </w:r>
      <w:r w:rsidR="00317E37">
        <w:rPr>
          <w:spacing w:val="-2"/>
        </w:rPr>
        <w:t xml:space="preserve"> so với dự báo trong tháng 01/2023</w:t>
      </w:r>
      <w:r>
        <w:rPr>
          <w:spacing w:val="-2"/>
        </w:rPr>
        <w:t xml:space="preserve"> </w:t>
      </w:r>
      <w:r w:rsidRPr="00815E5A">
        <w:rPr>
          <w:spacing w:val="-2"/>
        </w:rPr>
        <w:t xml:space="preserve">do các hiệu ứng trễ của thắt chặt chính sách tiền tệ đồng </w:t>
      </w:r>
      <w:r w:rsidR="00317E37">
        <w:rPr>
          <w:spacing w:val="-2"/>
        </w:rPr>
        <w:t xml:space="preserve">loạt </w:t>
      </w:r>
      <w:r>
        <w:rPr>
          <w:spacing w:val="-2"/>
        </w:rPr>
        <w:t xml:space="preserve">ở </w:t>
      </w:r>
      <w:r w:rsidRPr="00815E5A">
        <w:rPr>
          <w:spacing w:val="-2"/>
        </w:rPr>
        <w:t xml:space="preserve">các nền kinh tế </w:t>
      </w:r>
      <w:r>
        <w:rPr>
          <w:spacing w:val="-2"/>
        </w:rPr>
        <w:t>lớn đã</w:t>
      </w:r>
      <w:r w:rsidRPr="00815E5A">
        <w:rPr>
          <w:spacing w:val="-2"/>
        </w:rPr>
        <w:t xml:space="preserve"> đè nặng lên nhu cầu bên ngoài.</w:t>
      </w:r>
      <w:r>
        <w:rPr>
          <w:spacing w:val="-2"/>
        </w:rPr>
        <w:t xml:space="preserve"> </w:t>
      </w:r>
      <w:r w:rsidRPr="00815E5A">
        <w:rPr>
          <w:spacing w:val="-2"/>
        </w:rPr>
        <w:t xml:space="preserve">Mặc dù áp lực về giá dự </w:t>
      </w:r>
      <w:r>
        <w:rPr>
          <w:spacing w:val="-2"/>
        </w:rPr>
        <w:t>báo</w:t>
      </w:r>
      <w:r w:rsidRPr="00815E5A">
        <w:rPr>
          <w:spacing w:val="-2"/>
        </w:rPr>
        <w:t xml:space="preserve"> sẽ giảm trong</w:t>
      </w:r>
      <w:r>
        <w:rPr>
          <w:spacing w:val="-2"/>
        </w:rPr>
        <w:t xml:space="preserve"> </w:t>
      </w:r>
      <w:r w:rsidRPr="00815E5A">
        <w:rPr>
          <w:spacing w:val="-2"/>
        </w:rPr>
        <w:t xml:space="preserve">nửa cuối năm 2023 </w:t>
      </w:r>
      <w:r w:rsidR="0013479B">
        <w:rPr>
          <w:spacing w:val="-2"/>
        </w:rPr>
        <w:t>nhưng</w:t>
      </w:r>
      <w:r w:rsidRPr="00815E5A">
        <w:rPr>
          <w:spacing w:val="-2"/>
        </w:rPr>
        <w:t xml:space="preserve"> sự yếu kém dai dẳng trong tăng trưởng tiền lương thực tế sẽ kìm hãm</w:t>
      </w:r>
      <w:r>
        <w:rPr>
          <w:spacing w:val="-2"/>
        </w:rPr>
        <w:t xml:space="preserve"> </w:t>
      </w:r>
      <w:r w:rsidRPr="00815E5A">
        <w:rPr>
          <w:spacing w:val="-2"/>
        </w:rPr>
        <w:t xml:space="preserve">nhu cầu của người tiêu dùng. </w:t>
      </w:r>
    </w:p>
    <w:p w14:paraId="25642703" w14:textId="77777777" w:rsidR="003C7376" w:rsidRDefault="003C7376" w:rsidP="00060AE9">
      <w:pPr>
        <w:spacing w:before="120" w:after="120" w:line="240" w:lineRule="auto"/>
        <w:ind w:firstLine="720"/>
        <w:jc w:val="both"/>
      </w:pPr>
      <w:r w:rsidRPr="0011719E">
        <w:t>OECD</w:t>
      </w:r>
      <w:r>
        <w:t xml:space="preserve"> dự báo tăng trưởng GDP của Nhật Bản </w:t>
      </w:r>
      <w:r w:rsidRPr="00815E5A">
        <w:t>tăng 1,3% năm 2023,</w:t>
      </w:r>
      <w:r>
        <w:t xml:space="preserve"> điều chỉnh giảm 0,1 điểm phần trăm so với dự báo trong tháng 3/2023</w:t>
      </w:r>
      <w:r w:rsidRPr="00815E5A">
        <w:t xml:space="preserve"> chủ yếu do </w:t>
      </w:r>
      <w:r>
        <w:t xml:space="preserve">tác động của </w:t>
      </w:r>
      <w:r w:rsidRPr="00815E5A">
        <w:t xml:space="preserve">nhu cầu trong nước. </w:t>
      </w:r>
    </w:p>
    <w:p w14:paraId="0E39728A" w14:textId="77777777" w:rsidR="003C7376" w:rsidRDefault="003C7376" w:rsidP="00060AE9">
      <w:pPr>
        <w:spacing w:before="120" w:after="120" w:line="240" w:lineRule="auto"/>
        <w:ind w:firstLine="720"/>
        <w:jc w:val="both"/>
      </w:pPr>
      <w:r>
        <w:t>IMF dự báo t</w:t>
      </w:r>
      <w:r w:rsidRPr="00A54CAE">
        <w:t xml:space="preserve">ăng trưởng </w:t>
      </w:r>
      <w:r>
        <w:t>kinh tế</w:t>
      </w:r>
      <w:r w:rsidRPr="00A54CAE">
        <w:t xml:space="preserve"> Nhật Bản năm 2023</w:t>
      </w:r>
      <w:r>
        <w:t xml:space="preserve"> đạt </w:t>
      </w:r>
      <w:r w:rsidRPr="00A54CAE">
        <w:t>1,</w:t>
      </w:r>
      <w:r>
        <w:t>3</w:t>
      </w:r>
      <w:r w:rsidRPr="00A54CAE">
        <w:t>%</w:t>
      </w:r>
      <w:r>
        <w:t>, điều chỉnh giảm 0,5 điểm phần trăm so với dự báo trong tháng 01/2023</w:t>
      </w:r>
      <w:r w:rsidR="00317E37">
        <w:t xml:space="preserve"> nhưng cao hơn mức tăng trưởng GDP 1,1% </w:t>
      </w:r>
      <w:r w:rsidR="0013479B">
        <w:t xml:space="preserve">của </w:t>
      </w:r>
      <w:r w:rsidR="00317E37">
        <w:t>năm 2022.</w:t>
      </w:r>
    </w:p>
    <w:p w14:paraId="4CEBC072" w14:textId="77777777" w:rsidR="003C7376" w:rsidRPr="00673C45" w:rsidRDefault="003C7376" w:rsidP="00060AE9">
      <w:pPr>
        <w:spacing w:before="120" w:after="120" w:line="240" w:lineRule="auto"/>
        <w:ind w:firstLine="720"/>
        <w:jc w:val="both"/>
        <w:rPr>
          <w:spacing w:val="-6"/>
        </w:rPr>
      </w:pPr>
      <w:r>
        <w:t xml:space="preserve">Theo UNDESA tăng trưởng </w:t>
      </w:r>
      <w:r w:rsidRPr="00354C40">
        <w:t xml:space="preserve">GDP </w:t>
      </w:r>
      <w:r>
        <w:t xml:space="preserve">năm 2023 của Nhật Bản </w:t>
      </w:r>
      <w:r w:rsidRPr="00354C40">
        <w:t xml:space="preserve">dự báo </w:t>
      </w:r>
      <w:r>
        <w:t xml:space="preserve">đạt 1,2% năm 2023, điều chỉnh giảm 0,3 điểm phần trăm so với dự báo trong tháng </w:t>
      </w:r>
      <w:r w:rsidRPr="00673C45">
        <w:rPr>
          <w:spacing w:val="-6"/>
        </w:rPr>
        <w:t xml:space="preserve">01/2023 nhưng tăng 0,1 điểm phần trăm so với </w:t>
      </w:r>
      <w:r w:rsidR="00317E37" w:rsidRPr="00673C45">
        <w:rPr>
          <w:spacing w:val="-6"/>
        </w:rPr>
        <w:t xml:space="preserve">tăng trưởng </w:t>
      </w:r>
      <w:r w:rsidRPr="00673C45">
        <w:rPr>
          <w:spacing w:val="-6"/>
        </w:rPr>
        <w:t>GDP năm 2022</w:t>
      </w:r>
      <w:r w:rsidR="00317E37" w:rsidRPr="00673C45">
        <w:rPr>
          <w:spacing w:val="-6"/>
        </w:rPr>
        <w:t xml:space="preserve"> (1,1%)</w:t>
      </w:r>
      <w:r w:rsidRPr="00673C45">
        <w:rPr>
          <w:spacing w:val="-6"/>
        </w:rPr>
        <w:t xml:space="preserve">. </w:t>
      </w:r>
    </w:p>
    <w:p w14:paraId="16B1F4A7" w14:textId="77777777" w:rsidR="003C7376" w:rsidRDefault="003C7376" w:rsidP="002E581A">
      <w:pPr>
        <w:spacing w:before="120" w:after="120" w:line="240" w:lineRule="auto"/>
        <w:jc w:val="center"/>
        <w:rPr>
          <w:b/>
          <w:color w:val="000000" w:themeColor="text1"/>
          <w:szCs w:val="28"/>
        </w:rPr>
      </w:pPr>
      <w:r w:rsidRPr="009D1900">
        <w:rPr>
          <w:b/>
          <w:color w:val="000000" w:themeColor="text1"/>
          <w:szCs w:val="28"/>
        </w:rPr>
        <w:t xml:space="preserve">Hình 4. </w:t>
      </w:r>
      <w:r w:rsidR="00DE117E">
        <w:rPr>
          <w:b/>
          <w:color w:val="000000" w:themeColor="text1"/>
          <w:szCs w:val="28"/>
        </w:rPr>
        <w:t>Đánh giá</w:t>
      </w:r>
      <w:r w:rsidRPr="009D1900">
        <w:rPr>
          <w:b/>
          <w:color w:val="000000" w:themeColor="text1"/>
          <w:szCs w:val="28"/>
        </w:rPr>
        <w:t xml:space="preserve"> tăng trưởng của Nhật Bản năm 202</w:t>
      </w:r>
      <w:r>
        <w:rPr>
          <w:b/>
          <w:color w:val="000000" w:themeColor="text1"/>
          <w:szCs w:val="28"/>
        </w:rPr>
        <w:t>2</w:t>
      </w:r>
      <w:r w:rsidRPr="009D1900">
        <w:rPr>
          <w:b/>
          <w:color w:val="000000" w:themeColor="text1"/>
          <w:szCs w:val="28"/>
        </w:rPr>
        <w:t xml:space="preserve"> và </w:t>
      </w:r>
      <w:r w:rsidR="002947CA">
        <w:rPr>
          <w:b/>
          <w:color w:val="000000" w:themeColor="text1"/>
          <w:szCs w:val="28"/>
        </w:rPr>
        <w:t>dự báo năm</w:t>
      </w:r>
      <w:r w:rsidR="002947CA" w:rsidRPr="009D1900">
        <w:rPr>
          <w:b/>
          <w:color w:val="000000" w:themeColor="text1"/>
          <w:szCs w:val="28"/>
        </w:rPr>
        <w:t xml:space="preserve"> </w:t>
      </w:r>
      <w:r w:rsidRPr="009D1900">
        <w:rPr>
          <w:b/>
          <w:color w:val="000000" w:themeColor="text1"/>
          <w:szCs w:val="28"/>
        </w:rPr>
        <w:t>202</w:t>
      </w:r>
      <w:r>
        <w:rPr>
          <w:b/>
          <w:color w:val="000000" w:themeColor="text1"/>
          <w:szCs w:val="28"/>
        </w:rPr>
        <w:t>3</w:t>
      </w:r>
    </w:p>
    <w:p w14:paraId="4403676F" w14:textId="77777777" w:rsidR="003C7376" w:rsidRDefault="003C7376" w:rsidP="00060AE9">
      <w:pPr>
        <w:spacing w:before="120" w:after="120" w:line="240" w:lineRule="auto"/>
        <w:ind w:firstLine="720"/>
        <w:jc w:val="center"/>
        <w:rPr>
          <w:b/>
          <w:color w:val="000000" w:themeColor="text1"/>
          <w:szCs w:val="28"/>
        </w:rPr>
      </w:pPr>
      <w:r>
        <w:rPr>
          <w:noProof/>
        </w:rPr>
        <w:drawing>
          <wp:inline distT="0" distB="0" distL="0" distR="0" wp14:anchorId="229C577F" wp14:editId="61510BBA">
            <wp:extent cx="3377819" cy="189420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A3F313" w14:textId="77777777" w:rsidR="003C7376" w:rsidRPr="009D1900" w:rsidRDefault="003C7376" w:rsidP="00060AE9">
      <w:pPr>
        <w:spacing w:before="120" w:after="120" w:line="240" w:lineRule="auto"/>
        <w:ind w:firstLine="720"/>
        <w:jc w:val="both"/>
        <w:rPr>
          <w:spacing w:val="-2"/>
          <w:szCs w:val="28"/>
        </w:rPr>
      </w:pPr>
      <w:r w:rsidRPr="009D1900">
        <w:rPr>
          <w:i/>
          <w:sz w:val="24"/>
          <w:szCs w:val="28"/>
        </w:rPr>
        <w:t xml:space="preserve">Nguồn: </w:t>
      </w:r>
      <w:r>
        <w:rPr>
          <w:i/>
          <w:sz w:val="24"/>
          <w:szCs w:val="28"/>
        </w:rPr>
        <w:t>IMF</w:t>
      </w:r>
      <w:r w:rsidRPr="00926E2E">
        <w:rPr>
          <w:i/>
          <w:sz w:val="24"/>
          <w:szCs w:val="28"/>
        </w:rPr>
        <w:t xml:space="preserve">, </w:t>
      </w:r>
      <w:r>
        <w:rPr>
          <w:i/>
          <w:sz w:val="24"/>
          <w:szCs w:val="28"/>
        </w:rPr>
        <w:t>OECD, WB, UNDESA</w:t>
      </w:r>
    </w:p>
    <w:p w14:paraId="4A750174" w14:textId="77777777" w:rsidR="004735CB" w:rsidRDefault="00214298" w:rsidP="004735CB">
      <w:pPr>
        <w:spacing w:before="120" w:after="120" w:line="240" w:lineRule="auto"/>
        <w:ind w:firstLine="720"/>
        <w:jc w:val="both"/>
      </w:pPr>
      <w:r w:rsidRPr="00815E5A">
        <w:rPr>
          <w:szCs w:val="28"/>
        </w:rPr>
        <w:t xml:space="preserve"> </w:t>
      </w:r>
      <w:r>
        <w:rPr>
          <w:szCs w:val="28"/>
        </w:rPr>
        <w:t xml:space="preserve"> </w:t>
      </w:r>
      <w:r w:rsidR="004735CB" w:rsidRPr="009D1900">
        <w:rPr>
          <w:szCs w:val="28"/>
        </w:rPr>
        <w:t xml:space="preserve">Chỉ số PMI tổng hợp tháng </w:t>
      </w:r>
      <w:r w:rsidR="004735CB">
        <w:rPr>
          <w:szCs w:val="28"/>
        </w:rPr>
        <w:t>5</w:t>
      </w:r>
      <w:r w:rsidR="004735CB" w:rsidRPr="009D1900">
        <w:rPr>
          <w:szCs w:val="28"/>
        </w:rPr>
        <w:t>/202</w:t>
      </w:r>
      <w:r w:rsidR="004735CB">
        <w:rPr>
          <w:szCs w:val="28"/>
        </w:rPr>
        <w:t>3</w:t>
      </w:r>
      <w:r w:rsidR="004735CB" w:rsidRPr="009D1900">
        <w:rPr>
          <w:szCs w:val="28"/>
        </w:rPr>
        <w:t xml:space="preserve"> của Nhật Bản </w:t>
      </w:r>
      <w:r w:rsidR="004735CB">
        <w:rPr>
          <w:szCs w:val="28"/>
        </w:rPr>
        <w:t>đạt 54,3</w:t>
      </w:r>
      <w:r w:rsidR="004735CB" w:rsidRPr="009D1900">
        <w:rPr>
          <w:szCs w:val="28"/>
        </w:rPr>
        <w:t xml:space="preserve"> điểm, </w:t>
      </w:r>
      <w:r w:rsidR="004735CB">
        <w:rPr>
          <w:szCs w:val="28"/>
        </w:rPr>
        <w:t>thấp</w:t>
      </w:r>
      <w:r w:rsidR="004735CB" w:rsidRPr="009D1900">
        <w:rPr>
          <w:szCs w:val="28"/>
        </w:rPr>
        <w:t xml:space="preserve"> hơn </w:t>
      </w:r>
      <w:r w:rsidR="004735CB">
        <w:rPr>
          <w:szCs w:val="28"/>
        </w:rPr>
        <w:t>0,6 điểm so với số sơ bộ 54,9</w:t>
      </w:r>
      <w:r w:rsidR="004735CB" w:rsidRPr="009D1900">
        <w:rPr>
          <w:szCs w:val="28"/>
        </w:rPr>
        <w:t xml:space="preserve"> điểm </w:t>
      </w:r>
      <w:r w:rsidR="004735CB">
        <w:rPr>
          <w:szCs w:val="28"/>
        </w:rPr>
        <w:t xml:space="preserve">đưa ra trước đó và cao hơn nhiều so với mức </w:t>
      </w:r>
      <w:r w:rsidR="004735CB">
        <w:rPr>
          <w:szCs w:val="28"/>
        </w:rPr>
        <w:lastRenderedPageBreak/>
        <w:t xml:space="preserve">52,9 điểm của tháng 4/2023, phản ánh </w:t>
      </w:r>
      <w:r w:rsidR="004735CB" w:rsidRPr="00815E5A">
        <w:rPr>
          <w:szCs w:val="28"/>
        </w:rPr>
        <w:t xml:space="preserve">hoạt động của khu vực tư nhân đã tăng trưởng tháng thứ năm liên tiếp, </w:t>
      </w:r>
      <w:r w:rsidR="004735CB">
        <w:rPr>
          <w:szCs w:val="28"/>
        </w:rPr>
        <w:t xml:space="preserve">đạt </w:t>
      </w:r>
      <w:r w:rsidR="004735CB" w:rsidRPr="00815E5A">
        <w:rPr>
          <w:szCs w:val="28"/>
        </w:rPr>
        <w:t>tốc độ cao nhất kể từ tháng 10</w:t>
      </w:r>
      <w:r w:rsidR="004735CB">
        <w:rPr>
          <w:szCs w:val="28"/>
        </w:rPr>
        <w:t>/</w:t>
      </w:r>
      <w:r w:rsidR="004735CB" w:rsidRPr="00815E5A">
        <w:rPr>
          <w:szCs w:val="28"/>
        </w:rPr>
        <w:t xml:space="preserve">2013 và là tháng </w:t>
      </w:r>
      <w:r w:rsidR="004735CB">
        <w:rPr>
          <w:szCs w:val="28"/>
        </w:rPr>
        <w:t>tăng mạnh</w:t>
      </w:r>
      <w:r w:rsidR="004735CB" w:rsidRPr="00815E5A">
        <w:rPr>
          <w:szCs w:val="28"/>
        </w:rPr>
        <w:t xml:space="preserve"> thứ hai trong lịch sử </w:t>
      </w:r>
      <w:r w:rsidR="004735CB">
        <w:rPr>
          <w:szCs w:val="28"/>
        </w:rPr>
        <w:t>số liệu</w:t>
      </w:r>
      <w:r w:rsidR="004735CB" w:rsidRPr="00815E5A">
        <w:rPr>
          <w:szCs w:val="28"/>
        </w:rPr>
        <w:t>, khi</w:t>
      </w:r>
      <w:r w:rsidR="004735CB">
        <w:rPr>
          <w:szCs w:val="28"/>
        </w:rPr>
        <w:t xml:space="preserve"> nền</w:t>
      </w:r>
      <w:r w:rsidR="004735CB" w:rsidRPr="00815E5A">
        <w:rPr>
          <w:szCs w:val="28"/>
        </w:rPr>
        <w:t xml:space="preserve"> </w:t>
      </w:r>
      <w:r w:rsidR="004735CB">
        <w:rPr>
          <w:szCs w:val="28"/>
        </w:rPr>
        <w:t xml:space="preserve">kinh tế </w:t>
      </w:r>
      <w:r w:rsidR="004735CB" w:rsidRPr="00815E5A">
        <w:rPr>
          <w:szCs w:val="28"/>
        </w:rPr>
        <w:t xml:space="preserve">phục hồi sau những gián đoạn do đại dịch </w:t>
      </w:r>
      <w:r w:rsidR="004735CB">
        <w:rPr>
          <w:szCs w:val="28"/>
        </w:rPr>
        <w:t xml:space="preserve">Covid-19 </w:t>
      </w:r>
      <w:r w:rsidR="004735CB" w:rsidRPr="00815E5A">
        <w:rPr>
          <w:szCs w:val="28"/>
        </w:rPr>
        <w:t xml:space="preserve">gây ra </w:t>
      </w:r>
      <w:r w:rsidR="004735CB">
        <w:rPr>
          <w:szCs w:val="28"/>
        </w:rPr>
        <w:t xml:space="preserve">và </w:t>
      </w:r>
      <w:r w:rsidR="004735CB" w:rsidRPr="00815E5A">
        <w:rPr>
          <w:szCs w:val="28"/>
        </w:rPr>
        <w:t>đã đạt được đà</w:t>
      </w:r>
      <w:r w:rsidR="004735CB">
        <w:rPr>
          <w:szCs w:val="28"/>
        </w:rPr>
        <w:t xml:space="preserve"> tăng trưởng</w:t>
      </w:r>
      <w:r w:rsidR="004735CB" w:rsidRPr="00815E5A">
        <w:rPr>
          <w:szCs w:val="28"/>
        </w:rPr>
        <w:t xml:space="preserve">. Lĩnh vực dịch vụ </w:t>
      </w:r>
      <w:r w:rsidR="004735CB">
        <w:rPr>
          <w:szCs w:val="28"/>
        </w:rPr>
        <w:t>tăng</w:t>
      </w:r>
      <w:r w:rsidR="004735CB" w:rsidRPr="00815E5A">
        <w:rPr>
          <w:szCs w:val="28"/>
        </w:rPr>
        <w:t xml:space="preserve"> với tốc độ </w:t>
      </w:r>
      <w:r w:rsidR="004735CB">
        <w:rPr>
          <w:szCs w:val="28"/>
        </w:rPr>
        <w:t xml:space="preserve">cao </w:t>
      </w:r>
      <w:r w:rsidR="004735CB" w:rsidRPr="00815E5A">
        <w:rPr>
          <w:szCs w:val="28"/>
        </w:rPr>
        <w:t xml:space="preserve">kỷ lục trong tháng thứ hai liên tiếp, trong khi </w:t>
      </w:r>
      <w:r w:rsidR="004735CB">
        <w:rPr>
          <w:szCs w:val="28"/>
        </w:rPr>
        <w:t xml:space="preserve">ngành </w:t>
      </w:r>
      <w:r w:rsidR="004735CB" w:rsidRPr="00815E5A">
        <w:rPr>
          <w:szCs w:val="28"/>
        </w:rPr>
        <w:t>sản xuất</w:t>
      </w:r>
      <w:r w:rsidR="004735CB">
        <w:rPr>
          <w:szCs w:val="28"/>
        </w:rPr>
        <w:t>, chế biến</w:t>
      </w:r>
      <w:r w:rsidR="004735CB" w:rsidRPr="00815E5A">
        <w:rPr>
          <w:szCs w:val="28"/>
        </w:rPr>
        <w:t xml:space="preserve"> chế tạo tăng trưởng trở lại lần đầu tiên sau 11 tháng. </w:t>
      </w:r>
      <w:r w:rsidR="004735CB">
        <w:rPr>
          <w:szCs w:val="28"/>
        </w:rPr>
        <w:t>Đ</w:t>
      </w:r>
      <w:r w:rsidR="004735CB" w:rsidRPr="00815E5A">
        <w:rPr>
          <w:szCs w:val="28"/>
        </w:rPr>
        <w:t>ơn đặt hàng mới tăng kỷ lụ</w:t>
      </w:r>
      <w:r w:rsidR="004735CB">
        <w:rPr>
          <w:szCs w:val="28"/>
        </w:rPr>
        <w:t>c</w:t>
      </w:r>
      <w:r w:rsidR="004735CB" w:rsidRPr="00815E5A">
        <w:rPr>
          <w:szCs w:val="28"/>
        </w:rPr>
        <w:t xml:space="preserve">. </w:t>
      </w:r>
      <w:r w:rsidR="004735CB">
        <w:rPr>
          <w:szCs w:val="28"/>
        </w:rPr>
        <w:t>Bên cạnh đó</w:t>
      </w:r>
      <w:r w:rsidR="004735CB" w:rsidRPr="00815E5A">
        <w:rPr>
          <w:szCs w:val="28"/>
        </w:rPr>
        <w:t>, việc làm tăng mạnh nhất kể từ tháng 6</w:t>
      </w:r>
      <w:r w:rsidR="004735CB">
        <w:rPr>
          <w:szCs w:val="28"/>
        </w:rPr>
        <w:t>/2</w:t>
      </w:r>
      <w:r w:rsidR="004735CB" w:rsidRPr="00815E5A">
        <w:rPr>
          <w:szCs w:val="28"/>
        </w:rPr>
        <w:t xml:space="preserve">017. </w:t>
      </w:r>
      <w:r w:rsidR="004735CB">
        <w:rPr>
          <w:szCs w:val="28"/>
        </w:rPr>
        <w:t>L</w:t>
      </w:r>
      <w:r w:rsidR="004735CB" w:rsidRPr="00815E5A">
        <w:rPr>
          <w:szCs w:val="28"/>
        </w:rPr>
        <w:t>ạm phát chi phí đầu vào giảm xuống mức thấp nhất kể từ tháng 10</w:t>
      </w:r>
      <w:r w:rsidR="004735CB">
        <w:rPr>
          <w:szCs w:val="28"/>
        </w:rPr>
        <w:t>/</w:t>
      </w:r>
      <w:r w:rsidR="004735CB" w:rsidRPr="00815E5A">
        <w:rPr>
          <w:szCs w:val="28"/>
        </w:rPr>
        <w:t xml:space="preserve">2021, trong khi lạm phát giá cả đầu ra lần đầu tiên chậm lại kể từ tháng </w:t>
      </w:r>
      <w:r w:rsidR="004735CB">
        <w:rPr>
          <w:szCs w:val="28"/>
        </w:rPr>
        <w:t>01/2023</w:t>
      </w:r>
      <w:r w:rsidR="004735CB" w:rsidRPr="00815E5A">
        <w:rPr>
          <w:szCs w:val="28"/>
        </w:rPr>
        <w:t>.</w:t>
      </w:r>
    </w:p>
    <w:p w14:paraId="19B1135F" w14:textId="77777777" w:rsidR="00214298" w:rsidRPr="001D79BA" w:rsidRDefault="00214298" w:rsidP="00060AE9">
      <w:pPr>
        <w:spacing w:before="120" w:after="120" w:line="240" w:lineRule="auto"/>
        <w:ind w:firstLine="720"/>
        <w:jc w:val="both"/>
        <w:rPr>
          <w:szCs w:val="28"/>
          <w:lang w:val="vi-VN"/>
        </w:rPr>
      </w:pPr>
      <w:r w:rsidRPr="009D1900">
        <w:rPr>
          <w:color w:val="000000" w:themeColor="text1"/>
        </w:rPr>
        <w:t>Theo Trading Economics</w:t>
      </w:r>
      <w:r w:rsidRPr="009D1900">
        <w:rPr>
          <w:rStyle w:val="FootnoteReference"/>
          <w:color w:val="000000" w:themeColor="text1"/>
        </w:rPr>
        <w:footnoteReference w:id="8"/>
      </w:r>
      <w:r w:rsidRPr="009D1900">
        <w:rPr>
          <w:color w:val="000000" w:themeColor="text1"/>
        </w:rPr>
        <w:t>, GDP Quý I</w:t>
      </w:r>
      <w:r>
        <w:rPr>
          <w:color w:val="000000" w:themeColor="text1"/>
        </w:rPr>
        <w:t>I</w:t>
      </w:r>
      <w:r w:rsidRPr="009D1900">
        <w:rPr>
          <w:color w:val="000000" w:themeColor="text1"/>
        </w:rPr>
        <w:t>/202</w:t>
      </w:r>
      <w:r>
        <w:rPr>
          <w:color w:val="000000" w:themeColor="text1"/>
        </w:rPr>
        <w:t>3</w:t>
      </w:r>
      <w:r w:rsidRPr="009D1900">
        <w:rPr>
          <w:color w:val="000000" w:themeColor="text1"/>
        </w:rPr>
        <w:t xml:space="preserve"> của nền kinh tế Nhật Bản dự báo </w:t>
      </w:r>
      <w:r>
        <w:rPr>
          <w:color w:val="000000" w:themeColor="text1"/>
        </w:rPr>
        <w:t>tăng 0,5</w:t>
      </w:r>
      <w:r w:rsidRPr="009D1900">
        <w:rPr>
          <w:color w:val="000000" w:themeColor="text1"/>
        </w:rPr>
        <w:t xml:space="preserve">% so với </w:t>
      </w:r>
      <w:r>
        <w:rPr>
          <w:color w:val="000000" w:themeColor="text1"/>
        </w:rPr>
        <w:t>quý trước</w:t>
      </w:r>
      <w:r w:rsidRPr="009D1900">
        <w:rPr>
          <w:color w:val="000000" w:themeColor="text1"/>
        </w:rPr>
        <w:t xml:space="preserve"> và </w:t>
      </w:r>
      <w:r>
        <w:rPr>
          <w:color w:val="000000" w:themeColor="text1"/>
        </w:rPr>
        <w:t>tăng 0,6</w:t>
      </w:r>
      <w:r w:rsidRPr="009D1900">
        <w:rPr>
          <w:color w:val="000000" w:themeColor="text1"/>
        </w:rPr>
        <w:t xml:space="preserve">% so với </w:t>
      </w:r>
      <w:r>
        <w:rPr>
          <w:color w:val="000000" w:themeColor="text1"/>
        </w:rPr>
        <w:t>cùng kỳ năm trước</w:t>
      </w:r>
      <w:r w:rsidRPr="009D1900">
        <w:rPr>
          <w:color w:val="000000" w:themeColor="text1"/>
        </w:rPr>
        <w:t>.</w:t>
      </w:r>
    </w:p>
    <w:p w14:paraId="3940D377" w14:textId="77777777" w:rsidR="003C7376" w:rsidRPr="00A42EBD" w:rsidRDefault="003C7376" w:rsidP="00060AE9">
      <w:pPr>
        <w:spacing w:before="120" w:after="120" w:line="240" w:lineRule="auto"/>
        <w:ind w:firstLine="720"/>
        <w:jc w:val="both"/>
        <w:rPr>
          <w:b/>
          <w:szCs w:val="28"/>
          <w:lang w:val="vi-VN"/>
        </w:rPr>
      </w:pPr>
      <w:r w:rsidRPr="00A42EBD">
        <w:rPr>
          <w:b/>
          <w:szCs w:val="28"/>
          <w:lang w:val="vi-VN"/>
        </w:rPr>
        <w:t>4. Trung Quốc</w:t>
      </w:r>
    </w:p>
    <w:p w14:paraId="06FD5FAA" w14:textId="77777777" w:rsidR="003C7376" w:rsidRPr="00E84CB3" w:rsidRDefault="003C7376" w:rsidP="00060AE9">
      <w:pPr>
        <w:tabs>
          <w:tab w:val="left" w:pos="567"/>
        </w:tabs>
        <w:spacing w:before="120" w:after="120" w:line="240" w:lineRule="auto"/>
        <w:ind w:firstLine="720"/>
        <w:jc w:val="both"/>
        <w:rPr>
          <w:spacing w:val="-4"/>
          <w:szCs w:val="28"/>
        </w:rPr>
      </w:pPr>
      <w:r>
        <w:t xml:space="preserve">Theo </w:t>
      </w:r>
      <w:r>
        <w:rPr>
          <w:szCs w:val="28"/>
        </w:rPr>
        <w:t>UNDESA, t</w:t>
      </w:r>
      <w:r w:rsidRPr="00937FB8">
        <w:rPr>
          <w:szCs w:val="28"/>
        </w:rPr>
        <w:t xml:space="preserve">ăng trưởng kinh tế của Trung Quốc dự báo </w:t>
      </w:r>
      <w:r>
        <w:rPr>
          <w:szCs w:val="28"/>
        </w:rPr>
        <w:t>đạt</w:t>
      </w:r>
      <w:r w:rsidRPr="00937FB8">
        <w:rPr>
          <w:szCs w:val="28"/>
        </w:rPr>
        <w:t xml:space="preserve"> </w:t>
      </w:r>
      <w:r>
        <w:rPr>
          <w:szCs w:val="28"/>
        </w:rPr>
        <w:t>5,3</w:t>
      </w:r>
      <w:r w:rsidRPr="00937FB8">
        <w:rPr>
          <w:szCs w:val="28"/>
        </w:rPr>
        <w:t>% năm 2023</w:t>
      </w:r>
      <w:r>
        <w:rPr>
          <w:szCs w:val="28"/>
        </w:rPr>
        <w:t xml:space="preserve">, điều chỉnh tăng 0,5 điểm phần trăm so với dự báo trong tháng 01/2023, tăng 2,3 điểm phần trăm so với </w:t>
      </w:r>
      <w:r w:rsidR="00DB4D87">
        <w:rPr>
          <w:szCs w:val="28"/>
        </w:rPr>
        <w:t>mức tăng trưởng 3,0% của</w:t>
      </w:r>
      <w:r>
        <w:rPr>
          <w:szCs w:val="28"/>
        </w:rPr>
        <w:t xml:space="preserve"> năm 2022</w:t>
      </w:r>
      <w:r w:rsidR="00DB4D87">
        <w:rPr>
          <w:szCs w:val="28"/>
        </w:rPr>
        <w:t>.</w:t>
      </w:r>
      <w:r w:rsidR="00317E37">
        <w:rPr>
          <w:szCs w:val="28"/>
        </w:rPr>
        <w:t xml:space="preserve"> </w:t>
      </w:r>
    </w:p>
    <w:p w14:paraId="414BB1A8" w14:textId="77777777" w:rsidR="003C7376" w:rsidRPr="00815E5A" w:rsidRDefault="003C7376" w:rsidP="00060AE9">
      <w:pPr>
        <w:tabs>
          <w:tab w:val="left" w:pos="567"/>
        </w:tabs>
        <w:spacing w:before="120" w:after="120" w:line="240" w:lineRule="auto"/>
        <w:ind w:firstLine="720"/>
        <w:jc w:val="both"/>
        <w:rPr>
          <w:szCs w:val="28"/>
        </w:rPr>
      </w:pPr>
      <w:r>
        <w:rPr>
          <w:szCs w:val="28"/>
        </w:rPr>
        <w:t>WB nhận định h</w:t>
      </w:r>
      <w:r w:rsidRPr="00815E5A">
        <w:rPr>
          <w:szCs w:val="28"/>
        </w:rPr>
        <w:t xml:space="preserve">oạt động kinh tế </w:t>
      </w:r>
      <w:r>
        <w:rPr>
          <w:szCs w:val="28"/>
        </w:rPr>
        <w:t>của</w:t>
      </w:r>
      <w:r w:rsidRPr="00815E5A">
        <w:rPr>
          <w:szCs w:val="28"/>
        </w:rPr>
        <w:t xml:space="preserve"> Trung Quốc </w:t>
      </w:r>
      <w:r>
        <w:rPr>
          <w:szCs w:val="28"/>
        </w:rPr>
        <w:t xml:space="preserve">đã </w:t>
      </w:r>
      <w:r w:rsidRPr="00815E5A">
        <w:rPr>
          <w:szCs w:val="28"/>
        </w:rPr>
        <w:t>phục</w:t>
      </w:r>
      <w:r>
        <w:rPr>
          <w:szCs w:val="28"/>
        </w:rPr>
        <w:t xml:space="preserve"> hồi từ đầu năm </w:t>
      </w:r>
      <w:r w:rsidRPr="00815E5A">
        <w:rPr>
          <w:szCs w:val="28"/>
        </w:rPr>
        <w:t xml:space="preserve">2023 </w:t>
      </w:r>
      <w:r>
        <w:rPr>
          <w:szCs w:val="28"/>
        </w:rPr>
        <w:t xml:space="preserve">do chính sách tái mở cửa </w:t>
      </w:r>
      <w:r w:rsidRPr="00815E5A">
        <w:rPr>
          <w:szCs w:val="28"/>
        </w:rPr>
        <w:t>nền kinh tế sớm hơn dự kiế</w:t>
      </w:r>
      <w:r>
        <w:rPr>
          <w:szCs w:val="28"/>
        </w:rPr>
        <w:t>n</w:t>
      </w:r>
      <w:r w:rsidR="00DB4D87">
        <w:rPr>
          <w:szCs w:val="28"/>
        </w:rPr>
        <w:t xml:space="preserve"> đã</w:t>
      </w:r>
      <w:r>
        <w:rPr>
          <w:szCs w:val="28"/>
        </w:rPr>
        <w:t xml:space="preserve"> </w:t>
      </w:r>
      <w:r w:rsidRPr="00815E5A">
        <w:rPr>
          <w:szCs w:val="28"/>
        </w:rPr>
        <w:t xml:space="preserve">thúc đẩy người tiêu </w:t>
      </w:r>
      <w:r>
        <w:rPr>
          <w:szCs w:val="28"/>
        </w:rPr>
        <w:t xml:space="preserve">dùng chi tiêu vào </w:t>
      </w:r>
      <w:r w:rsidRPr="00815E5A">
        <w:rPr>
          <w:szCs w:val="28"/>
        </w:rPr>
        <w:t>các hoạt động liên quan đến dịch vụ</w:t>
      </w:r>
      <w:r>
        <w:rPr>
          <w:szCs w:val="28"/>
        </w:rPr>
        <w:t xml:space="preserve">. </w:t>
      </w:r>
      <w:r w:rsidRPr="00815E5A">
        <w:rPr>
          <w:szCs w:val="28"/>
        </w:rPr>
        <w:t>Lĩnh vực bất động sản bắt đầu</w:t>
      </w:r>
      <w:r>
        <w:rPr>
          <w:szCs w:val="28"/>
        </w:rPr>
        <w:t xml:space="preserve"> tăng trưởng trở lại</w:t>
      </w:r>
      <w:r w:rsidRPr="00815E5A">
        <w:rPr>
          <w:szCs w:val="28"/>
        </w:rPr>
        <w:t xml:space="preserve"> </w:t>
      </w:r>
      <w:r>
        <w:rPr>
          <w:szCs w:val="28"/>
        </w:rPr>
        <w:t xml:space="preserve">sau </w:t>
      </w:r>
      <w:r w:rsidRPr="00815E5A">
        <w:rPr>
          <w:szCs w:val="28"/>
        </w:rPr>
        <w:t>suy thoái kéo dài</w:t>
      </w:r>
      <w:r>
        <w:rPr>
          <w:szCs w:val="28"/>
        </w:rPr>
        <w:t xml:space="preserve"> nhờ các </w:t>
      </w:r>
      <w:r w:rsidRPr="00815E5A">
        <w:rPr>
          <w:szCs w:val="28"/>
        </w:rPr>
        <w:t xml:space="preserve">chính sách </w:t>
      </w:r>
      <w:r w:rsidR="00DB4D87">
        <w:rPr>
          <w:szCs w:val="28"/>
        </w:rPr>
        <w:t xml:space="preserve">hỗ trợ </w:t>
      </w:r>
      <w:r>
        <w:rPr>
          <w:szCs w:val="28"/>
        </w:rPr>
        <w:t>như</w:t>
      </w:r>
      <w:r w:rsidRPr="00815E5A">
        <w:rPr>
          <w:szCs w:val="28"/>
        </w:rPr>
        <w:t xml:space="preserve"> </w:t>
      </w:r>
      <w:r>
        <w:rPr>
          <w:szCs w:val="28"/>
        </w:rPr>
        <w:t xml:space="preserve">hỗ trợ </w:t>
      </w:r>
      <w:r w:rsidRPr="00815E5A">
        <w:rPr>
          <w:szCs w:val="28"/>
        </w:rPr>
        <w:t>thanh khoản cho các nhà phát triển</w:t>
      </w:r>
      <w:r>
        <w:rPr>
          <w:szCs w:val="28"/>
        </w:rPr>
        <w:t xml:space="preserve"> nhà ở</w:t>
      </w:r>
      <w:r w:rsidRPr="00815E5A">
        <w:rPr>
          <w:szCs w:val="28"/>
        </w:rPr>
        <w:t xml:space="preserve"> và các biện pháp để đảm bảo</w:t>
      </w:r>
      <w:r>
        <w:rPr>
          <w:szCs w:val="28"/>
        </w:rPr>
        <w:t xml:space="preserve"> </w:t>
      </w:r>
      <w:r w:rsidRPr="00815E5A">
        <w:rPr>
          <w:szCs w:val="28"/>
        </w:rPr>
        <w:t>hoàn thành các dự án dang</w:t>
      </w:r>
      <w:r>
        <w:rPr>
          <w:szCs w:val="28"/>
        </w:rPr>
        <w:t xml:space="preserve"> </w:t>
      </w:r>
      <w:r w:rsidRPr="00815E5A">
        <w:rPr>
          <w:szCs w:val="28"/>
        </w:rPr>
        <w:t xml:space="preserve">dở. </w:t>
      </w:r>
      <w:r>
        <w:rPr>
          <w:szCs w:val="28"/>
        </w:rPr>
        <w:t xml:space="preserve">Mặc dù </w:t>
      </w:r>
      <w:r w:rsidRPr="00815E5A">
        <w:rPr>
          <w:szCs w:val="28"/>
        </w:rPr>
        <w:t>thương mại hàng hóa vẫn trầm lắ</w:t>
      </w:r>
      <w:r>
        <w:rPr>
          <w:szCs w:val="28"/>
        </w:rPr>
        <w:t>ng nhưng WB dự báo t</w:t>
      </w:r>
      <w:r w:rsidRPr="00815E5A">
        <w:rPr>
          <w:szCs w:val="28"/>
        </w:rPr>
        <w:t xml:space="preserve">ăng trưởng </w:t>
      </w:r>
      <w:r w:rsidR="00DB4D87">
        <w:rPr>
          <w:szCs w:val="28"/>
        </w:rPr>
        <w:t xml:space="preserve">kinh tế của Trung Quốc </w:t>
      </w:r>
      <w:r w:rsidRPr="00815E5A">
        <w:rPr>
          <w:szCs w:val="28"/>
        </w:rPr>
        <w:t xml:space="preserve">sẽ hồi phục lên </w:t>
      </w:r>
      <w:r>
        <w:rPr>
          <w:szCs w:val="28"/>
        </w:rPr>
        <w:t xml:space="preserve">mức </w:t>
      </w:r>
      <w:r w:rsidRPr="00815E5A">
        <w:rPr>
          <w:szCs w:val="28"/>
        </w:rPr>
        <w:t>5,6% trong</w:t>
      </w:r>
      <w:r>
        <w:rPr>
          <w:szCs w:val="28"/>
        </w:rPr>
        <w:t xml:space="preserve"> năm </w:t>
      </w:r>
      <w:r w:rsidRPr="00815E5A">
        <w:rPr>
          <w:szCs w:val="28"/>
        </w:rPr>
        <w:t>2023</w:t>
      </w:r>
      <w:r>
        <w:rPr>
          <w:szCs w:val="28"/>
        </w:rPr>
        <w:t>, điều chỉnh tăng 1,3 điểm phần trăm so với dự báo trong tháng 01/2023</w:t>
      </w:r>
      <w:r w:rsidRPr="00815E5A">
        <w:rPr>
          <w:szCs w:val="28"/>
        </w:rPr>
        <w:t>.</w:t>
      </w:r>
      <w:r>
        <w:rPr>
          <w:szCs w:val="28"/>
        </w:rPr>
        <w:t xml:space="preserve"> </w:t>
      </w:r>
      <w:r w:rsidRPr="00815E5A">
        <w:rPr>
          <w:szCs w:val="28"/>
        </w:rPr>
        <w:t xml:space="preserve">Đầu tư dự </w:t>
      </w:r>
      <w:r>
        <w:rPr>
          <w:szCs w:val="28"/>
        </w:rPr>
        <w:t>báo</w:t>
      </w:r>
      <w:r w:rsidRPr="00815E5A">
        <w:rPr>
          <w:szCs w:val="28"/>
        </w:rPr>
        <w:t xml:space="preserve"> chỉ tăng khiêm tốn khi</w:t>
      </w:r>
      <w:r>
        <w:rPr>
          <w:szCs w:val="28"/>
        </w:rPr>
        <w:t xml:space="preserve"> các gói </w:t>
      </w:r>
      <w:r w:rsidRPr="00815E5A">
        <w:rPr>
          <w:szCs w:val="28"/>
        </w:rPr>
        <w:t xml:space="preserve">kích </w:t>
      </w:r>
      <w:r>
        <w:rPr>
          <w:szCs w:val="28"/>
        </w:rPr>
        <w:t>cầu</w:t>
      </w:r>
      <w:r w:rsidRPr="00815E5A">
        <w:rPr>
          <w:szCs w:val="28"/>
        </w:rPr>
        <w:t xml:space="preserve"> liên quan đến cơ sở hạ tầng </w:t>
      </w:r>
      <w:r>
        <w:rPr>
          <w:szCs w:val="28"/>
        </w:rPr>
        <w:t>giảm</w:t>
      </w:r>
      <w:r w:rsidRPr="00815E5A">
        <w:rPr>
          <w:szCs w:val="28"/>
        </w:rPr>
        <w:t xml:space="preserve"> dần và mức nợ </w:t>
      </w:r>
      <w:r>
        <w:rPr>
          <w:szCs w:val="28"/>
        </w:rPr>
        <w:t xml:space="preserve">cao </w:t>
      </w:r>
      <w:r w:rsidRPr="00815E5A">
        <w:rPr>
          <w:szCs w:val="28"/>
        </w:rPr>
        <w:t>ảnh hưởng đến sự phục hồi của lĩnh vực bất động sản.</w:t>
      </w:r>
    </w:p>
    <w:p w14:paraId="0FEB5D04" w14:textId="77777777" w:rsidR="003C7376" w:rsidRPr="008C1407" w:rsidRDefault="003C7376" w:rsidP="00060AE9">
      <w:pPr>
        <w:tabs>
          <w:tab w:val="left" w:pos="567"/>
        </w:tabs>
        <w:spacing w:before="120" w:after="120" w:line="240" w:lineRule="auto"/>
        <w:ind w:firstLine="720"/>
        <w:jc w:val="both"/>
        <w:rPr>
          <w:spacing w:val="-6"/>
          <w:szCs w:val="28"/>
        </w:rPr>
      </w:pPr>
      <w:r w:rsidRPr="008C1407">
        <w:rPr>
          <w:spacing w:val="-6"/>
          <w:szCs w:val="28"/>
        </w:rPr>
        <w:t xml:space="preserve">OECD nhận định việc Trung Quốc dỡ bỏ các biện pháp phong tỏa hạn chế lây lan </w:t>
      </w:r>
      <w:r w:rsidR="009D6F3C" w:rsidRPr="008C1407">
        <w:rPr>
          <w:spacing w:val="-6"/>
          <w:szCs w:val="28"/>
        </w:rPr>
        <w:t xml:space="preserve">dịch </w:t>
      </w:r>
      <w:r w:rsidR="007945AF" w:rsidRPr="008C1407">
        <w:rPr>
          <w:spacing w:val="-6"/>
          <w:szCs w:val="28"/>
        </w:rPr>
        <w:t>Covid</w:t>
      </w:r>
      <w:r w:rsidRPr="008C1407">
        <w:rPr>
          <w:spacing w:val="-6"/>
          <w:szCs w:val="28"/>
        </w:rPr>
        <w:t xml:space="preserve">-19 đã giải phóng nhu cầu trong nước bị dồn nén đối với các dịch vụ trực tiếp, làm tăng doanh thu cho các ngành dịch vụ bị ảnh hưởng nặng nề do phong tỏa như du lịch và hoạt động giải trí. Việc nới lỏng các quy định an toàn liên quan đến nhà ở và chi phí thế chấp thấp hơn đã giúp ổn định doanh số kinh doanh bất động sản. Việc chuyển giao các dự án cơ sở hạ tầng lớn từ năm trước sẽ thúc đẩy sự bùng nổ xây dựng. Tuy nhiên, tăng trưởng xuất khẩu của Trung Quốc bị kìm hãm do nhu cầu toàn cầu yếu. Lạm phát giá tiêu dùng sẽ vẫn ở mức vừa phải do nhu cầu trong nước chưa phục hồi nhiều. Theo đó, OECD dự báo tăng trưởng kinh tế Trung Quốc năm 2023 </w:t>
      </w:r>
      <w:r w:rsidR="00DB4D87" w:rsidRPr="008C1407">
        <w:rPr>
          <w:spacing w:val="-6"/>
          <w:szCs w:val="28"/>
        </w:rPr>
        <w:t>đạt</w:t>
      </w:r>
      <w:r w:rsidRPr="008C1407">
        <w:rPr>
          <w:spacing w:val="-6"/>
          <w:szCs w:val="28"/>
        </w:rPr>
        <w:t xml:space="preserve"> 5,4%, điều chỉnh tăng 0,1 điểm phần trăm so với dự báo trong </w:t>
      </w:r>
      <w:r w:rsidRPr="008C1407">
        <w:rPr>
          <w:spacing w:val="-6"/>
        </w:rPr>
        <w:t>tháng 3/2023</w:t>
      </w:r>
      <w:r w:rsidRPr="008C1407">
        <w:rPr>
          <w:spacing w:val="-6"/>
          <w:szCs w:val="28"/>
        </w:rPr>
        <w:t>.</w:t>
      </w:r>
    </w:p>
    <w:p w14:paraId="535C13E8" w14:textId="77777777" w:rsidR="003C7376" w:rsidRDefault="003C7376" w:rsidP="00060AE9">
      <w:pPr>
        <w:tabs>
          <w:tab w:val="left" w:pos="567"/>
        </w:tabs>
        <w:spacing w:before="120" w:after="120" w:line="240" w:lineRule="auto"/>
        <w:ind w:firstLine="720"/>
        <w:jc w:val="both"/>
      </w:pPr>
      <w:r>
        <w:t>Trong báo cáo chính sách và triển vọng toàn cầu tháng 4/2023, IMF giữ nguyên dự báo tăng trưởng kinh tế</w:t>
      </w:r>
      <w:r w:rsidRPr="00937FB8">
        <w:t xml:space="preserve"> Trung Quốc </w:t>
      </w:r>
      <w:r>
        <w:t>năm 2023 ở mức 5,2%, không điều chỉnh so với dự báo đưa ra tháng 01/2023</w:t>
      </w:r>
      <w:r w:rsidRPr="00937FB8">
        <w:t xml:space="preserve">. </w:t>
      </w:r>
      <w:r>
        <w:t>Việc tái mở cửa nền kinh tế sớm hơn dự kiến đã giúp cho kinh tế Trung Quốc phục hồi nhanh chóng.</w:t>
      </w:r>
    </w:p>
    <w:p w14:paraId="0E7480A1" w14:textId="77777777" w:rsidR="00D45DD9" w:rsidRDefault="00D45DD9" w:rsidP="00060AE9">
      <w:pPr>
        <w:tabs>
          <w:tab w:val="left" w:pos="567"/>
        </w:tabs>
        <w:spacing w:before="120" w:after="120" w:line="240" w:lineRule="auto"/>
        <w:ind w:firstLine="720"/>
        <w:jc w:val="both"/>
        <w:rPr>
          <w:spacing w:val="-2"/>
          <w:szCs w:val="28"/>
        </w:rPr>
      </w:pPr>
      <w:r w:rsidRPr="00EA295B">
        <w:rPr>
          <w:spacing w:val="-2"/>
          <w:szCs w:val="28"/>
        </w:rPr>
        <w:t xml:space="preserve">Chỉ số PMI tổng hợp của nền kinh tế Trung Quốc trong tháng </w:t>
      </w:r>
      <w:r>
        <w:rPr>
          <w:spacing w:val="-2"/>
          <w:szCs w:val="28"/>
        </w:rPr>
        <w:t>5</w:t>
      </w:r>
      <w:r w:rsidRPr="00EA295B">
        <w:rPr>
          <w:spacing w:val="-2"/>
          <w:szCs w:val="28"/>
        </w:rPr>
        <w:t xml:space="preserve">/2023 đạt </w:t>
      </w:r>
      <w:r>
        <w:rPr>
          <w:spacing w:val="-2"/>
          <w:szCs w:val="28"/>
        </w:rPr>
        <w:t>55,6</w:t>
      </w:r>
      <w:r w:rsidRPr="00EA295B">
        <w:rPr>
          <w:spacing w:val="-2"/>
          <w:szCs w:val="28"/>
        </w:rPr>
        <w:t xml:space="preserve"> điểm, tăng </w:t>
      </w:r>
      <w:r>
        <w:rPr>
          <w:spacing w:val="-2"/>
          <w:szCs w:val="28"/>
        </w:rPr>
        <w:t>2,0</w:t>
      </w:r>
      <w:r w:rsidRPr="00EA295B">
        <w:rPr>
          <w:spacing w:val="-2"/>
          <w:szCs w:val="28"/>
        </w:rPr>
        <w:t xml:space="preserve"> điểm so với 5</w:t>
      </w:r>
      <w:r>
        <w:rPr>
          <w:spacing w:val="-2"/>
          <w:szCs w:val="28"/>
        </w:rPr>
        <w:t>3</w:t>
      </w:r>
      <w:r w:rsidRPr="00EA295B">
        <w:rPr>
          <w:spacing w:val="-2"/>
          <w:szCs w:val="28"/>
        </w:rPr>
        <w:t>,</w:t>
      </w:r>
      <w:r>
        <w:rPr>
          <w:spacing w:val="-2"/>
          <w:szCs w:val="28"/>
        </w:rPr>
        <w:t>6</w:t>
      </w:r>
      <w:r w:rsidRPr="00EA295B">
        <w:rPr>
          <w:spacing w:val="-2"/>
          <w:szCs w:val="28"/>
        </w:rPr>
        <w:t xml:space="preserve"> điểm trong tháng </w:t>
      </w:r>
      <w:r>
        <w:rPr>
          <w:spacing w:val="-2"/>
          <w:szCs w:val="28"/>
        </w:rPr>
        <w:t>4</w:t>
      </w:r>
      <w:r w:rsidRPr="00EA295B">
        <w:rPr>
          <w:spacing w:val="-2"/>
          <w:szCs w:val="28"/>
        </w:rPr>
        <w:t>/2023</w:t>
      </w:r>
      <w:r>
        <w:rPr>
          <w:spacing w:val="-2"/>
          <w:szCs w:val="28"/>
        </w:rPr>
        <w:t xml:space="preserve">, </w:t>
      </w:r>
      <w:r w:rsidRPr="00873644">
        <w:rPr>
          <w:spacing w:val="-2"/>
          <w:szCs w:val="28"/>
        </w:rPr>
        <w:t xml:space="preserve">đánh dấu tháng tăng </w:t>
      </w:r>
      <w:r w:rsidRPr="00873644">
        <w:rPr>
          <w:spacing w:val="-2"/>
          <w:szCs w:val="28"/>
        </w:rPr>
        <w:lastRenderedPageBreak/>
        <w:t xml:space="preserve">trưởng thứ năm liên tiếp trong hoạt động của khu vực tư nhân và là tốc độ </w:t>
      </w:r>
      <w:r>
        <w:rPr>
          <w:spacing w:val="-2"/>
          <w:szCs w:val="28"/>
        </w:rPr>
        <w:t xml:space="preserve">tăng </w:t>
      </w:r>
      <w:r w:rsidRPr="00873644">
        <w:rPr>
          <w:spacing w:val="-2"/>
          <w:szCs w:val="28"/>
        </w:rPr>
        <w:t>cao nhất kể từ tháng 12</w:t>
      </w:r>
      <w:r>
        <w:rPr>
          <w:spacing w:val="-2"/>
          <w:szCs w:val="28"/>
        </w:rPr>
        <w:t>/</w:t>
      </w:r>
      <w:r w:rsidRPr="00873644">
        <w:rPr>
          <w:spacing w:val="-2"/>
          <w:szCs w:val="28"/>
        </w:rPr>
        <w:t>2020</w:t>
      </w:r>
      <w:r w:rsidRPr="00EA295B">
        <w:rPr>
          <w:spacing w:val="-2"/>
          <w:szCs w:val="28"/>
        </w:rPr>
        <w:t xml:space="preserve">. </w:t>
      </w:r>
      <w:r w:rsidRPr="00873644">
        <w:rPr>
          <w:spacing w:val="-2"/>
          <w:szCs w:val="28"/>
        </w:rPr>
        <w:t>Đơn đặt hàng mới tăng mạnh nhất trong hơn 2 năm</w:t>
      </w:r>
      <w:r>
        <w:rPr>
          <w:spacing w:val="-2"/>
          <w:szCs w:val="28"/>
        </w:rPr>
        <w:t xml:space="preserve"> qua</w:t>
      </w:r>
      <w:r w:rsidRPr="00873644">
        <w:rPr>
          <w:spacing w:val="-2"/>
          <w:szCs w:val="28"/>
        </w:rPr>
        <w:t xml:space="preserve">, </w:t>
      </w:r>
      <w:r>
        <w:rPr>
          <w:spacing w:val="-2"/>
          <w:szCs w:val="28"/>
        </w:rPr>
        <w:t>mặc dù</w:t>
      </w:r>
      <w:r w:rsidRPr="00873644">
        <w:rPr>
          <w:spacing w:val="-2"/>
          <w:szCs w:val="28"/>
        </w:rPr>
        <w:t xml:space="preserve"> tăng trưởng đơn hàng xuất khẩu vẫn ở mức thấp</w:t>
      </w:r>
      <w:r>
        <w:rPr>
          <w:spacing w:val="-2"/>
          <w:szCs w:val="28"/>
        </w:rPr>
        <w:t>.</w:t>
      </w:r>
    </w:p>
    <w:p w14:paraId="26774FB2" w14:textId="77777777" w:rsidR="00D45DD9" w:rsidRPr="00A42EBD" w:rsidRDefault="00D45DD9" w:rsidP="00060AE9">
      <w:pPr>
        <w:tabs>
          <w:tab w:val="left" w:pos="567"/>
        </w:tabs>
        <w:spacing w:before="120" w:after="120" w:line="240" w:lineRule="auto"/>
        <w:ind w:firstLine="720"/>
        <w:jc w:val="both"/>
        <w:rPr>
          <w:szCs w:val="28"/>
          <w:lang w:val="vi-VN"/>
        </w:rPr>
      </w:pPr>
      <w:r w:rsidRPr="009D1900">
        <w:rPr>
          <w:color w:val="000000" w:themeColor="text1"/>
        </w:rPr>
        <w:t>Theo Trading Economics</w:t>
      </w:r>
      <w:r w:rsidRPr="009D1900">
        <w:rPr>
          <w:rStyle w:val="FootnoteReference"/>
          <w:color w:val="000000" w:themeColor="text1"/>
        </w:rPr>
        <w:footnoteReference w:id="9"/>
      </w:r>
      <w:r w:rsidRPr="009D1900">
        <w:rPr>
          <w:color w:val="000000" w:themeColor="text1"/>
        </w:rPr>
        <w:t>, GDP Quý I</w:t>
      </w:r>
      <w:r>
        <w:rPr>
          <w:color w:val="000000" w:themeColor="text1"/>
        </w:rPr>
        <w:t>I</w:t>
      </w:r>
      <w:r w:rsidRPr="009D1900">
        <w:rPr>
          <w:color w:val="000000" w:themeColor="text1"/>
        </w:rPr>
        <w:t>/202</w:t>
      </w:r>
      <w:r>
        <w:rPr>
          <w:color w:val="000000" w:themeColor="text1"/>
        </w:rPr>
        <w:t>3</w:t>
      </w:r>
      <w:r w:rsidRPr="009D1900">
        <w:rPr>
          <w:color w:val="000000" w:themeColor="text1"/>
        </w:rPr>
        <w:t xml:space="preserve"> của nền kinh tế </w:t>
      </w:r>
      <w:r>
        <w:rPr>
          <w:color w:val="000000" w:themeColor="text1"/>
        </w:rPr>
        <w:t>Trung Quốc</w:t>
      </w:r>
      <w:r w:rsidRPr="009D1900">
        <w:rPr>
          <w:color w:val="000000" w:themeColor="text1"/>
        </w:rPr>
        <w:t xml:space="preserve"> </w:t>
      </w:r>
      <w:r>
        <w:rPr>
          <w:color w:val="000000" w:themeColor="text1"/>
        </w:rPr>
        <w:t>tăng 1,5%</w:t>
      </w:r>
      <w:r w:rsidRPr="009D1900">
        <w:rPr>
          <w:color w:val="000000" w:themeColor="text1"/>
        </w:rPr>
        <w:t xml:space="preserve"> so vớ</w:t>
      </w:r>
      <w:r>
        <w:rPr>
          <w:color w:val="000000" w:themeColor="text1"/>
        </w:rPr>
        <w:t xml:space="preserve">i Quý I/2023 </w:t>
      </w:r>
      <w:r w:rsidRPr="009D1900">
        <w:rPr>
          <w:color w:val="000000" w:themeColor="text1"/>
        </w:rPr>
        <w:t xml:space="preserve">và </w:t>
      </w:r>
      <w:r>
        <w:rPr>
          <w:color w:val="000000" w:themeColor="text1"/>
        </w:rPr>
        <w:t>tăng 5,8</w:t>
      </w:r>
      <w:r w:rsidRPr="009D1900">
        <w:rPr>
          <w:color w:val="000000" w:themeColor="text1"/>
        </w:rPr>
        <w:t>% so với cùng kỳ năm 202</w:t>
      </w:r>
      <w:r>
        <w:rPr>
          <w:color w:val="000000" w:themeColor="text1"/>
        </w:rPr>
        <w:t>2</w:t>
      </w:r>
      <w:r w:rsidRPr="009D1900">
        <w:rPr>
          <w:color w:val="000000" w:themeColor="text1"/>
        </w:rPr>
        <w:t>.</w:t>
      </w:r>
    </w:p>
    <w:p w14:paraId="4A3923C6" w14:textId="77777777" w:rsidR="003C7376" w:rsidRPr="002E581A" w:rsidRDefault="003C7376" w:rsidP="002E581A">
      <w:pPr>
        <w:tabs>
          <w:tab w:val="left" w:pos="567"/>
        </w:tabs>
        <w:spacing w:before="120" w:after="120" w:line="240" w:lineRule="auto"/>
        <w:jc w:val="center"/>
        <w:rPr>
          <w:b/>
          <w:color w:val="000000" w:themeColor="text1"/>
          <w:spacing w:val="-6"/>
          <w:szCs w:val="28"/>
        </w:rPr>
      </w:pPr>
      <w:r w:rsidRPr="002E581A">
        <w:rPr>
          <w:b/>
          <w:color w:val="000000" w:themeColor="text1"/>
          <w:spacing w:val="-6"/>
          <w:szCs w:val="28"/>
        </w:rPr>
        <w:t xml:space="preserve">Hình 5. </w:t>
      </w:r>
      <w:r w:rsidR="00DE117E" w:rsidRPr="002E581A">
        <w:rPr>
          <w:b/>
          <w:color w:val="000000" w:themeColor="text1"/>
          <w:spacing w:val="-6"/>
          <w:szCs w:val="28"/>
        </w:rPr>
        <w:t>Đánh giá</w:t>
      </w:r>
      <w:r w:rsidRPr="002E581A">
        <w:rPr>
          <w:b/>
          <w:color w:val="000000" w:themeColor="text1"/>
          <w:spacing w:val="-6"/>
          <w:szCs w:val="28"/>
        </w:rPr>
        <w:t xml:space="preserve"> tăng trưởng của Trung Quốc năm 2022 và </w:t>
      </w:r>
      <w:r w:rsidR="002947CA" w:rsidRPr="002E581A">
        <w:rPr>
          <w:b/>
          <w:color w:val="000000" w:themeColor="text1"/>
          <w:spacing w:val="-6"/>
          <w:szCs w:val="28"/>
        </w:rPr>
        <w:t xml:space="preserve">dự báo năm </w:t>
      </w:r>
      <w:r w:rsidRPr="002E581A">
        <w:rPr>
          <w:b/>
          <w:color w:val="000000" w:themeColor="text1"/>
          <w:spacing w:val="-6"/>
          <w:szCs w:val="28"/>
        </w:rPr>
        <w:t>2023</w:t>
      </w:r>
    </w:p>
    <w:p w14:paraId="0D1E410B" w14:textId="77777777" w:rsidR="003C7376" w:rsidRDefault="003C7376" w:rsidP="00060AE9">
      <w:pPr>
        <w:spacing w:before="120" w:after="120" w:line="240" w:lineRule="auto"/>
        <w:ind w:firstLine="720"/>
        <w:jc w:val="center"/>
        <w:rPr>
          <w:b/>
          <w:color w:val="000000" w:themeColor="text1"/>
          <w:szCs w:val="28"/>
        </w:rPr>
      </w:pPr>
      <w:r>
        <w:rPr>
          <w:noProof/>
        </w:rPr>
        <w:drawing>
          <wp:inline distT="0" distB="0" distL="0" distR="0" wp14:anchorId="31034D32" wp14:editId="3159EE1D">
            <wp:extent cx="3935095" cy="188000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B1FBDE" w14:textId="28B275AA" w:rsidR="008F7CFC" w:rsidRDefault="003C7376" w:rsidP="00A75B03">
      <w:pPr>
        <w:tabs>
          <w:tab w:val="left" w:pos="567"/>
        </w:tabs>
        <w:spacing w:before="120" w:after="120" w:line="240" w:lineRule="auto"/>
        <w:ind w:firstLine="720"/>
        <w:rPr>
          <w:i/>
          <w:sz w:val="24"/>
          <w:szCs w:val="28"/>
        </w:rPr>
      </w:pPr>
      <w:r w:rsidRPr="009D1900">
        <w:rPr>
          <w:i/>
          <w:sz w:val="24"/>
          <w:szCs w:val="28"/>
        </w:rPr>
        <w:t xml:space="preserve">Nguồn: </w:t>
      </w:r>
      <w:r>
        <w:rPr>
          <w:i/>
          <w:sz w:val="24"/>
          <w:szCs w:val="28"/>
        </w:rPr>
        <w:t>IMF</w:t>
      </w:r>
      <w:r w:rsidRPr="00926E2E">
        <w:rPr>
          <w:i/>
          <w:sz w:val="24"/>
          <w:szCs w:val="28"/>
        </w:rPr>
        <w:t xml:space="preserve">, </w:t>
      </w:r>
      <w:r>
        <w:rPr>
          <w:i/>
          <w:sz w:val="24"/>
          <w:szCs w:val="28"/>
        </w:rPr>
        <w:t>OECD, WB, UNDESA</w:t>
      </w:r>
    </w:p>
    <w:p w14:paraId="33184852" w14:textId="77777777" w:rsidR="002B16AD" w:rsidRPr="00A42EBD" w:rsidRDefault="002B16AD" w:rsidP="00060AE9">
      <w:pPr>
        <w:tabs>
          <w:tab w:val="left" w:pos="567"/>
        </w:tabs>
        <w:spacing w:before="120" w:after="120" w:line="240" w:lineRule="auto"/>
        <w:ind w:firstLine="720"/>
        <w:jc w:val="both"/>
        <w:rPr>
          <w:b/>
          <w:color w:val="000000" w:themeColor="text1"/>
          <w:szCs w:val="28"/>
          <w:lang w:val="vi-VN"/>
        </w:rPr>
      </w:pPr>
      <w:r w:rsidRPr="00A42EBD">
        <w:rPr>
          <w:b/>
          <w:color w:val="000000" w:themeColor="text1"/>
          <w:szCs w:val="28"/>
          <w:lang w:val="vi-VN"/>
        </w:rPr>
        <w:t>5. Đông Nam Á</w:t>
      </w:r>
    </w:p>
    <w:p w14:paraId="459B2F01" w14:textId="77777777" w:rsidR="009743C5" w:rsidRPr="00A42EBD" w:rsidRDefault="009743C5" w:rsidP="00060AE9">
      <w:pPr>
        <w:spacing w:before="120" w:after="120" w:line="240" w:lineRule="auto"/>
        <w:ind w:firstLine="720"/>
        <w:jc w:val="both"/>
        <w:rPr>
          <w:color w:val="000000" w:themeColor="text1"/>
          <w:spacing w:val="-4"/>
          <w:szCs w:val="28"/>
          <w:lang w:val="vi-VN"/>
        </w:rPr>
      </w:pPr>
      <w:r w:rsidRPr="00A42EBD">
        <w:rPr>
          <w:color w:val="000000" w:themeColor="text1"/>
          <w:spacing w:val="-4"/>
          <w:szCs w:val="28"/>
          <w:lang w:val="vi-VN"/>
        </w:rPr>
        <w:t xml:space="preserve">Theo báo cáo Triển vọng phát triển châu Á tháng 4/2023 của Ngân hàng Phát triển </w:t>
      </w:r>
      <w:r w:rsidR="00A76599">
        <w:rPr>
          <w:color w:val="000000" w:themeColor="text1"/>
          <w:spacing w:val="-4"/>
          <w:szCs w:val="28"/>
        </w:rPr>
        <w:t>c</w:t>
      </w:r>
      <w:r w:rsidRPr="00A42EBD">
        <w:rPr>
          <w:color w:val="000000" w:themeColor="text1"/>
          <w:spacing w:val="-4"/>
          <w:szCs w:val="28"/>
          <w:lang w:val="vi-VN"/>
        </w:rPr>
        <w:t xml:space="preserve">hâu Á (ADB), tăng trưởng khu vực Đông Nam Á dần bình thường hóa sau khi phục hồi mạnh vào năm 2022. ADB dự báo tăng trưởng của khu vực năm 2023 đạt 4,7%, giảm so với mức 5,6% của năm 2022. Sự phục hồi liên tục này phần lớn là do mở cửa kinh tế trở lại của </w:t>
      </w:r>
      <w:r w:rsidR="00EF0920" w:rsidRPr="00A42EBD">
        <w:rPr>
          <w:color w:val="000000" w:themeColor="text1"/>
          <w:spacing w:val="-4"/>
          <w:szCs w:val="28"/>
          <w:lang w:val="vi-VN"/>
        </w:rPr>
        <w:t>Đông Nam Á</w:t>
      </w:r>
      <w:r w:rsidRPr="00A42EBD">
        <w:rPr>
          <w:color w:val="000000" w:themeColor="text1"/>
          <w:spacing w:val="-4"/>
          <w:szCs w:val="28"/>
          <w:lang w:val="vi-VN"/>
        </w:rPr>
        <w:t xml:space="preserve">. Các quốc gia </w:t>
      </w:r>
      <w:r w:rsidR="00EF0920" w:rsidRPr="00A42EBD">
        <w:rPr>
          <w:color w:val="000000" w:themeColor="text1"/>
          <w:spacing w:val="-4"/>
          <w:szCs w:val="28"/>
          <w:lang w:val="vi-VN"/>
        </w:rPr>
        <w:t>có</w:t>
      </w:r>
      <w:r w:rsidRPr="00A42EBD">
        <w:rPr>
          <w:color w:val="000000" w:themeColor="text1"/>
          <w:spacing w:val="-4"/>
          <w:szCs w:val="28"/>
          <w:lang w:val="vi-VN"/>
        </w:rPr>
        <w:t xml:space="preserve"> du lịch chiếm tỷ trọng lớn trong GDP sẽ được hưởng lợi từ sự trở lại của khách du lịch Trung Quốc, đặc biệt là </w:t>
      </w:r>
      <w:r w:rsidR="00994578" w:rsidRPr="00A42EBD">
        <w:rPr>
          <w:color w:val="000000" w:themeColor="text1"/>
          <w:spacing w:val="-4"/>
          <w:szCs w:val="28"/>
          <w:lang w:val="vi-VN"/>
        </w:rPr>
        <w:t>Cam-pu-chia</w:t>
      </w:r>
      <w:r w:rsidRPr="00A42EBD">
        <w:rPr>
          <w:color w:val="000000" w:themeColor="text1"/>
          <w:spacing w:val="-4"/>
          <w:szCs w:val="28"/>
          <w:lang w:val="vi-VN"/>
        </w:rPr>
        <w:t xml:space="preserve">, </w:t>
      </w:r>
      <w:r w:rsidR="00DE1BF2">
        <w:rPr>
          <w:color w:val="000000" w:themeColor="text1"/>
          <w:spacing w:val="-4"/>
          <w:szCs w:val="28"/>
        </w:rPr>
        <w:t>Phi-lip-pin</w:t>
      </w:r>
      <w:r w:rsidRPr="00A42EBD">
        <w:rPr>
          <w:color w:val="000000" w:themeColor="text1"/>
          <w:spacing w:val="-4"/>
          <w:szCs w:val="28"/>
          <w:lang w:val="vi-VN"/>
        </w:rPr>
        <w:t xml:space="preserve"> và Thái Lan. Những thuận lợi từ việc Trung Quốc mở cửa trở lại sẽ được bù đắp một phần bởi các điều kiện tiền tệ thắt chặ</w:t>
      </w:r>
      <w:r w:rsidR="00EF0920" w:rsidRPr="00A42EBD">
        <w:rPr>
          <w:color w:val="000000" w:themeColor="text1"/>
          <w:spacing w:val="-4"/>
          <w:szCs w:val="28"/>
          <w:lang w:val="vi-VN"/>
        </w:rPr>
        <w:t>t</w:t>
      </w:r>
      <w:r w:rsidRPr="00A42EBD">
        <w:rPr>
          <w:color w:val="000000" w:themeColor="text1"/>
          <w:spacing w:val="-4"/>
          <w:szCs w:val="28"/>
          <w:lang w:val="vi-VN"/>
        </w:rPr>
        <w:t xml:space="preserve">. Xuất khẩu yếu </w:t>
      </w:r>
      <w:r w:rsidR="00EF0920" w:rsidRPr="00A42EBD">
        <w:rPr>
          <w:color w:val="000000" w:themeColor="text1"/>
          <w:spacing w:val="-4"/>
          <w:szCs w:val="28"/>
          <w:lang w:val="vi-VN"/>
        </w:rPr>
        <w:t>phần nào kéo tụt đà</w:t>
      </w:r>
      <w:r w:rsidRPr="00A42EBD">
        <w:rPr>
          <w:color w:val="000000" w:themeColor="text1"/>
          <w:spacing w:val="-4"/>
          <w:szCs w:val="28"/>
          <w:lang w:val="vi-VN"/>
        </w:rPr>
        <w:t xml:space="preserve"> tăng trưởng, do nhu cầu từ các nền kinh tế </w:t>
      </w:r>
      <w:r w:rsidR="00EF0920" w:rsidRPr="00A42EBD">
        <w:rPr>
          <w:color w:val="000000" w:themeColor="text1"/>
          <w:spacing w:val="-4"/>
          <w:szCs w:val="28"/>
          <w:lang w:val="vi-VN"/>
        </w:rPr>
        <w:t>phát triển</w:t>
      </w:r>
      <w:r w:rsidRPr="00A42EBD">
        <w:rPr>
          <w:color w:val="000000" w:themeColor="text1"/>
          <w:spacing w:val="-4"/>
          <w:szCs w:val="28"/>
          <w:lang w:val="vi-VN"/>
        </w:rPr>
        <w:t xml:space="preserve"> tiếp tục chuyển </w:t>
      </w:r>
      <w:r w:rsidR="00EF0920" w:rsidRPr="00A42EBD">
        <w:rPr>
          <w:color w:val="000000" w:themeColor="text1"/>
          <w:spacing w:val="-4"/>
          <w:szCs w:val="28"/>
          <w:lang w:val="vi-VN"/>
        </w:rPr>
        <w:t xml:space="preserve">hướng </w:t>
      </w:r>
      <w:r w:rsidRPr="00A42EBD">
        <w:rPr>
          <w:color w:val="000000" w:themeColor="text1"/>
          <w:spacing w:val="-4"/>
          <w:szCs w:val="28"/>
          <w:lang w:val="vi-VN"/>
        </w:rPr>
        <w:t>từ hàng hóa, đặc biệt là điện tử</w:t>
      </w:r>
      <w:r w:rsidR="00EF0920" w:rsidRPr="00A42EBD">
        <w:rPr>
          <w:color w:val="000000" w:themeColor="text1"/>
          <w:spacing w:val="-4"/>
          <w:szCs w:val="28"/>
          <w:lang w:val="vi-VN"/>
        </w:rPr>
        <w:t>,</w:t>
      </w:r>
      <w:r w:rsidRPr="00A42EBD">
        <w:rPr>
          <w:color w:val="000000" w:themeColor="text1"/>
          <w:spacing w:val="-4"/>
          <w:szCs w:val="28"/>
          <w:lang w:val="vi-VN"/>
        </w:rPr>
        <w:t xml:space="preserve"> sang dịch vụ. </w:t>
      </w:r>
      <w:r w:rsidR="00EF0920" w:rsidRPr="00A42EBD">
        <w:rPr>
          <w:color w:val="000000" w:themeColor="text1"/>
          <w:spacing w:val="-4"/>
          <w:szCs w:val="28"/>
          <w:lang w:val="vi-VN"/>
        </w:rPr>
        <w:t xml:space="preserve">Tuy nhiên, </w:t>
      </w:r>
      <w:r w:rsidRPr="00A42EBD">
        <w:rPr>
          <w:color w:val="000000" w:themeColor="text1"/>
          <w:spacing w:val="-4"/>
          <w:szCs w:val="28"/>
          <w:lang w:val="vi-VN"/>
        </w:rPr>
        <w:t xml:space="preserve">Việt Nam đi ngược lại xu hướng này với xuất khẩu dự kiến sẽ tăng nhờ đầu tư nước ngoài vào </w:t>
      </w:r>
      <w:r w:rsidR="00EF0920" w:rsidRPr="00A42EBD">
        <w:rPr>
          <w:color w:val="000000" w:themeColor="text1"/>
          <w:spacing w:val="-4"/>
          <w:szCs w:val="28"/>
          <w:lang w:val="vi-VN"/>
        </w:rPr>
        <w:t>công nghiệp chế biến, chế tạo</w:t>
      </w:r>
      <w:r w:rsidRPr="00A42EBD">
        <w:rPr>
          <w:color w:val="000000" w:themeColor="text1"/>
          <w:spacing w:val="-4"/>
          <w:szCs w:val="28"/>
          <w:lang w:val="vi-VN"/>
        </w:rPr>
        <w:t xml:space="preserve">. Nền kinh tế </w:t>
      </w:r>
      <w:r w:rsidR="00EF0920" w:rsidRPr="00A42EBD">
        <w:rPr>
          <w:color w:val="000000" w:themeColor="text1"/>
          <w:spacing w:val="-4"/>
          <w:szCs w:val="28"/>
          <w:lang w:val="vi-VN"/>
        </w:rPr>
        <w:t xml:space="preserve">Việt Nam được </w:t>
      </w:r>
      <w:r w:rsidRPr="00A42EBD">
        <w:rPr>
          <w:color w:val="000000" w:themeColor="text1"/>
          <w:spacing w:val="-4"/>
          <w:szCs w:val="28"/>
          <w:lang w:val="vi-VN"/>
        </w:rPr>
        <w:t xml:space="preserve">được dự báo sẽ tăng trưởng nhanh nhất trong </w:t>
      </w:r>
      <w:r w:rsidR="00EF0920" w:rsidRPr="00A42EBD">
        <w:rPr>
          <w:color w:val="000000" w:themeColor="text1"/>
          <w:spacing w:val="-4"/>
          <w:szCs w:val="28"/>
          <w:lang w:val="vi-VN"/>
        </w:rPr>
        <w:t>khu vực</w:t>
      </w:r>
      <w:r w:rsidRPr="00A42EBD">
        <w:rPr>
          <w:color w:val="000000" w:themeColor="text1"/>
          <w:spacing w:val="-4"/>
          <w:szCs w:val="28"/>
          <w:lang w:val="vi-VN"/>
        </w:rPr>
        <w:t xml:space="preserve">, </w:t>
      </w:r>
      <w:r w:rsidR="00EF0920" w:rsidRPr="00A42EBD">
        <w:rPr>
          <w:color w:val="000000" w:themeColor="text1"/>
          <w:spacing w:val="-4"/>
          <w:szCs w:val="28"/>
          <w:lang w:val="vi-VN"/>
        </w:rPr>
        <w:t>đạt</w:t>
      </w:r>
      <w:r w:rsidRPr="00A42EBD">
        <w:rPr>
          <w:color w:val="000000" w:themeColor="text1"/>
          <w:spacing w:val="-4"/>
          <w:szCs w:val="28"/>
          <w:lang w:val="vi-VN"/>
        </w:rPr>
        <w:t xml:space="preserve"> mức 6,5% trong năm </w:t>
      </w:r>
      <w:r w:rsidR="00EF0920" w:rsidRPr="00A42EBD">
        <w:rPr>
          <w:color w:val="000000" w:themeColor="text1"/>
          <w:spacing w:val="-4"/>
          <w:szCs w:val="28"/>
          <w:lang w:val="vi-VN"/>
        </w:rPr>
        <w:t>2023</w:t>
      </w:r>
      <w:r w:rsidRPr="00A42EBD">
        <w:rPr>
          <w:color w:val="000000" w:themeColor="text1"/>
          <w:spacing w:val="-4"/>
          <w:szCs w:val="28"/>
          <w:lang w:val="vi-VN"/>
        </w:rPr>
        <w:t>.</w:t>
      </w:r>
    </w:p>
    <w:p w14:paraId="6D67228F" w14:textId="77777777" w:rsidR="00AA3076" w:rsidRPr="00A42EBD" w:rsidRDefault="00250D7F" w:rsidP="00060AE9">
      <w:pPr>
        <w:spacing w:before="120" w:after="120" w:line="240" w:lineRule="auto"/>
        <w:ind w:firstLine="720"/>
        <w:jc w:val="both"/>
        <w:rPr>
          <w:color w:val="000000" w:themeColor="text1"/>
          <w:spacing w:val="-4"/>
          <w:szCs w:val="28"/>
          <w:lang w:val="vi-VN"/>
        </w:rPr>
      </w:pPr>
      <w:r w:rsidRPr="00A42EBD">
        <w:rPr>
          <w:color w:val="000000" w:themeColor="text1"/>
          <w:spacing w:val="-4"/>
          <w:szCs w:val="28"/>
          <w:lang w:val="vi-VN"/>
        </w:rPr>
        <w:t xml:space="preserve">Tại Cam-pu-chia, kinh tế tiếp tục phục hồi mặc dù nhu cầu bên ngoài yếu. Nền kinh tế dự </w:t>
      </w:r>
      <w:r w:rsidR="00DE1BF2">
        <w:rPr>
          <w:color w:val="000000" w:themeColor="text1"/>
          <w:spacing w:val="-4"/>
          <w:szCs w:val="28"/>
        </w:rPr>
        <w:t>báo</w:t>
      </w:r>
      <w:r w:rsidR="00DE1BF2" w:rsidRPr="00A42EBD">
        <w:rPr>
          <w:color w:val="000000" w:themeColor="text1"/>
          <w:spacing w:val="-4"/>
          <w:szCs w:val="28"/>
          <w:lang w:val="vi-VN"/>
        </w:rPr>
        <w:t xml:space="preserve"> </w:t>
      </w:r>
      <w:r w:rsidRPr="00A42EBD">
        <w:rPr>
          <w:color w:val="000000" w:themeColor="text1"/>
          <w:spacing w:val="-4"/>
          <w:szCs w:val="28"/>
          <w:lang w:val="vi-VN"/>
        </w:rPr>
        <w:t xml:space="preserve">sẽ tăng trưởng </w:t>
      </w:r>
      <w:r w:rsidR="00DE1BF2">
        <w:rPr>
          <w:color w:val="000000" w:themeColor="text1"/>
          <w:spacing w:val="-4"/>
          <w:szCs w:val="28"/>
        </w:rPr>
        <w:t xml:space="preserve">ở mức </w:t>
      </w:r>
      <w:r w:rsidRPr="00A42EBD">
        <w:rPr>
          <w:color w:val="000000" w:themeColor="text1"/>
          <w:spacing w:val="-4"/>
          <w:szCs w:val="28"/>
          <w:lang w:val="vi-VN"/>
        </w:rPr>
        <w:t xml:space="preserve">5,5% năm 2023 nhờ sự phục hồi mạnh mẽ hơn của ngành du lịch. Tăng trưởng các mặt hàng may mặc, giày dép và hàng hóa du lịch được dự báo sẽ giảm do nhu cầu suy yếu ở Hoa Kỳ và châu Âu. Tuy nhiên, ngành công nghiệp tiếp tục được hưởng lợi từ các hiệp định thương mại mới và cải cách chính sách bao gồm luật đầu tư mới để tạo ra một tổ chức dịch vụ một cửa cho các nhà đầu tư. </w:t>
      </w:r>
    </w:p>
    <w:p w14:paraId="28A5C90D" w14:textId="77777777" w:rsidR="00F3408E" w:rsidRPr="00A42EBD" w:rsidRDefault="00F3408E" w:rsidP="00060AE9">
      <w:pPr>
        <w:spacing w:before="120" w:after="120" w:line="240" w:lineRule="auto"/>
        <w:ind w:firstLine="720"/>
        <w:jc w:val="both"/>
        <w:rPr>
          <w:color w:val="000000" w:themeColor="text1"/>
          <w:spacing w:val="-4"/>
          <w:szCs w:val="28"/>
          <w:lang w:val="vi-VN"/>
        </w:rPr>
      </w:pPr>
      <w:r w:rsidRPr="00A42EBD">
        <w:rPr>
          <w:color w:val="000000" w:themeColor="text1"/>
          <w:spacing w:val="-4"/>
          <w:szCs w:val="28"/>
          <w:lang w:val="vi-VN"/>
        </w:rPr>
        <w:t xml:space="preserve">Tăng trưởng năm 2023 của In-đô-nê-xi-a được dự báo </w:t>
      </w:r>
      <w:r w:rsidR="000D16FA">
        <w:rPr>
          <w:color w:val="000000" w:themeColor="text1"/>
          <w:spacing w:val="-4"/>
          <w:szCs w:val="28"/>
        </w:rPr>
        <w:t>đạt</w:t>
      </w:r>
      <w:r w:rsidR="000D16FA" w:rsidRPr="00A42EBD">
        <w:rPr>
          <w:color w:val="000000" w:themeColor="text1"/>
          <w:spacing w:val="-4"/>
          <w:szCs w:val="28"/>
          <w:lang w:val="vi-VN"/>
        </w:rPr>
        <w:t xml:space="preserve"> </w:t>
      </w:r>
      <w:r w:rsidRPr="00A42EBD">
        <w:rPr>
          <w:color w:val="000000" w:themeColor="text1"/>
          <w:spacing w:val="-4"/>
          <w:szCs w:val="28"/>
          <w:lang w:val="vi-VN"/>
        </w:rPr>
        <w:t xml:space="preserve">4,8%, </w:t>
      </w:r>
      <w:r w:rsidR="001A6F22" w:rsidRPr="00A42EBD">
        <w:rPr>
          <w:color w:val="000000" w:themeColor="text1"/>
          <w:spacing w:val="-4"/>
          <w:szCs w:val="28"/>
          <w:lang w:val="vi-VN"/>
        </w:rPr>
        <w:t xml:space="preserve">nhưng vẫn </w:t>
      </w:r>
      <w:r w:rsidRPr="00A42EBD">
        <w:rPr>
          <w:color w:val="000000" w:themeColor="text1"/>
          <w:spacing w:val="-4"/>
          <w:szCs w:val="28"/>
          <w:lang w:val="vi-VN"/>
        </w:rPr>
        <w:t xml:space="preserve">thấp </w:t>
      </w:r>
      <w:r w:rsidR="00A76599">
        <w:rPr>
          <w:color w:val="000000" w:themeColor="text1"/>
          <w:spacing w:val="-4"/>
          <w:szCs w:val="28"/>
        </w:rPr>
        <w:t xml:space="preserve">hơn </w:t>
      </w:r>
      <w:r w:rsidR="001A6F22" w:rsidRPr="00A42EBD">
        <w:rPr>
          <w:color w:val="000000" w:themeColor="text1"/>
          <w:spacing w:val="-4"/>
          <w:szCs w:val="28"/>
          <w:lang w:val="vi-VN"/>
        </w:rPr>
        <w:t xml:space="preserve">mức </w:t>
      </w:r>
      <w:r w:rsidRPr="00A42EBD">
        <w:rPr>
          <w:color w:val="000000" w:themeColor="text1"/>
          <w:spacing w:val="-4"/>
          <w:szCs w:val="28"/>
          <w:lang w:val="vi-VN"/>
        </w:rPr>
        <w:t>5,3%</w:t>
      </w:r>
      <w:r w:rsidR="001A6F22" w:rsidRPr="00A42EBD">
        <w:rPr>
          <w:color w:val="000000" w:themeColor="text1"/>
          <w:spacing w:val="-4"/>
          <w:szCs w:val="28"/>
          <w:lang w:val="vi-VN"/>
        </w:rPr>
        <w:t xml:space="preserve"> trong năm 2022</w:t>
      </w:r>
      <w:r w:rsidRPr="00A42EBD">
        <w:rPr>
          <w:color w:val="000000" w:themeColor="text1"/>
          <w:spacing w:val="-4"/>
          <w:szCs w:val="28"/>
          <w:lang w:val="vi-VN"/>
        </w:rPr>
        <w:t xml:space="preserve">. Lạm phát được dự báo sẽ giảm xuống </w:t>
      </w:r>
      <w:r w:rsidR="000D16FA">
        <w:rPr>
          <w:color w:val="000000" w:themeColor="text1"/>
          <w:spacing w:val="-4"/>
          <w:szCs w:val="28"/>
        </w:rPr>
        <w:t xml:space="preserve">mức </w:t>
      </w:r>
      <w:r w:rsidRPr="00A42EBD">
        <w:rPr>
          <w:color w:val="000000" w:themeColor="text1"/>
          <w:spacing w:val="-4"/>
          <w:szCs w:val="28"/>
          <w:lang w:val="vi-VN"/>
        </w:rPr>
        <w:t xml:space="preserve">3% vào năm 2024, nằm trong mục tiêu của ngân hàng trung ương </w:t>
      </w:r>
      <w:r w:rsidR="00D45DD9">
        <w:rPr>
          <w:color w:val="000000" w:themeColor="text1"/>
          <w:spacing w:val="-4"/>
          <w:szCs w:val="28"/>
        </w:rPr>
        <w:t>từ</w:t>
      </w:r>
      <w:r w:rsidR="00D45DD9" w:rsidRPr="00A42EBD">
        <w:rPr>
          <w:color w:val="000000" w:themeColor="text1"/>
          <w:spacing w:val="-4"/>
          <w:szCs w:val="28"/>
          <w:lang w:val="vi-VN"/>
        </w:rPr>
        <w:t xml:space="preserve"> </w:t>
      </w:r>
      <w:r w:rsidRPr="00A42EBD">
        <w:rPr>
          <w:color w:val="000000" w:themeColor="text1"/>
          <w:spacing w:val="-4"/>
          <w:szCs w:val="28"/>
          <w:lang w:val="vi-VN"/>
        </w:rPr>
        <w:t>2%</w:t>
      </w:r>
      <w:r w:rsidR="000D16FA">
        <w:rPr>
          <w:color w:val="000000" w:themeColor="text1"/>
          <w:spacing w:val="-4"/>
          <w:szCs w:val="28"/>
        </w:rPr>
        <w:t xml:space="preserve"> - </w:t>
      </w:r>
      <w:r w:rsidRPr="00A42EBD">
        <w:rPr>
          <w:color w:val="000000" w:themeColor="text1"/>
          <w:spacing w:val="-4"/>
          <w:szCs w:val="28"/>
          <w:lang w:val="vi-VN"/>
        </w:rPr>
        <w:t xml:space="preserve">4%. Tăng </w:t>
      </w:r>
      <w:r w:rsidRPr="00A42EBD">
        <w:rPr>
          <w:color w:val="000000" w:themeColor="text1"/>
          <w:spacing w:val="-4"/>
          <w:szCs w:val="28"/>
          <w:lang w:val="vi-VN"/>
        </w:rPr>
        <w:lastRenderedPageBreak/>
        <w:t xml:space="preserve">trưởng xuất nhập khẩu khoảng 6%, du lịch phục hồi trở lại mức trước đại dịch. Tài khoản vãng lai dự kiến sẽ thặng dư trong năm 2023. Các biện pháp như quy tắc chống phá rừng của Liên minh </w:t>
      </w:r>
      <w:r w:rsidR="00F50116">
        <w:rPr>
          <w:color w:val="000000" w:themeColor="text1"/>
          <w:spacing w:val="-4"/>
          <w:szCs w:val="28"/>
        </w:rPr>
        <w:t>c</w:t>
      </w:r>
      <w:r w:rsidR="00F50116" w:rsidRPr="00A42EBD">
        <w:rPr>
          <w:color w:val="000000" w:themeColor="text1"/>
          <w:spacing w:val="-4"/>
          <w:szCs w:val="28"/>
          <w:lang w:val="vi-VN"/>
        </w:rPr>
        <w:t xml:space="preserve">hâu </w:t>
      </w:r>
      <w:r w:rsidRPr="00A42EBD">
        <w:rPr>
          <w:color w:val="000000" w:themeColor="text1"/>
          <w:spacing w:val="-4"/>
          <w:szCs w:val="28"/>
          <w:lang w:val="vi-VN"/>
        </w:rPr>
        <w:t xml:space="preserve">Âu và cơ chế điều chỉnh biên giới carbon có thể ảnh hưởng đến triển vọng xuất khẩu của </w:t>
      </w:r>
      <w:r w:rsidR="001A6F22" w:rsidRPr="00A42EBD">
        <w:rPr>
          <w:color w:val="000000" w:themeColor="text1"/>
          <w:spacing w:val="-4"/>
          <w:szCs w:val="28"/>
          <w:lang w:val="vi-VN"/>
        </w:rPr>
        <w:t>In-đô-nê-xi-a</w:t>
      </w:r>
      <w:r w:rsidRPr="00A42EBD">
        <w:rPr>
          <w:color w:val="000000" w:themeColor="text1"/>
          <w:spacing w:val="-4"/>
          <w:szCs w:val="28"/>
          <w:lang w:val="vi-VN"/>
        </w:rPr>
        <w:t>.</w:t>
      </w:r>
    </w:p>
    <w:p w14:paraId="7B1ED05C" w14:textId="77777777" w:rsidR="001A6F22" w:rsidRPr="00A077B4" w:rsidRDefault="001A6F22" w:rsidP="00A077B4">
      <w:pPr>
        <w:spacing w:before="80" w:after="0" w:line="240" w:lineRule="auto"/>
        <w:ind w:firstLine="720"/>
        <w:jc w:val="both"/>
        <w:rPr>
          <w:color w:val="000000" w:themeColor="text1"/>
          <w:spacing w:val="-6"/>
          <w:szCs w:val="28"/>
          <w:lang w:val="vi-VN"/>
        </w:rPr>
      </w:pPr>
      <w:r w:rsidRPr="00A077B4">
        <w:rPr>
          <w:color w:val="000000" w:themeColor="text1"/>
          <w:spacing w:val="-6"/>
          <w:szCs w:val="28"/>
          <w:lang w:val="vi-VN"/>
        </w:rPr>
        <w:t xml:space="preserve">Tăng trưởng GDP </w:t>
      </w:r>
      <w:r w:rsidR="003001AC" w:rsidRPr="00A077B4">
        <w:rPr>
          <w:color w:val="000000" w:themeColor="text1"/>
          <w:spacing w:val="-6"/>
          <w:szCs w:val="28"/>
          <w:lang w:val="vi-VN"/>
        </w:rPr>
        <w:t xml:space="preserve">của Lào </w:t>
      </w:r>
      <w:r w:rsidRPr="00A077B4">
        <w:rPr>
          <w:color w:val="000000" w:themeColor="text1"/>
          <w:spacing w:val="-6"/>
          <w:szCs w:val="28"/>
          <w:lang w:val="vi-VN"/>
        </w:rPr>
        <w:t xml:space="preserve">được dự báo </w:t>
      </w:r>
      <w:r w:rsidR="001F1298" w:rsidRPr="00A077B4">
        <w:rPr>
          <w:color w:val="000000" w:themeColor="text1"/>
          <w:spacing w:val="-6"/>
          <w:szCs w:val="28"/>
        </w:rPr>
        <w:t>đạt</w:t>
      </w:r>
      <w:r w:rsidRPr="00A077B4">
        <w:rPr>
          <w:color w:val="000000" w:themeColor="text1"/>
          <w:spacing w:val="-6"/>
          <w:szCs w:val="28"/>
          <w:lang w:val="vi-VN"/>
        </w:rPr>
        <w:t xml:space="preserve"> 4,0% trong năm </w:t>
      </w:r>
      <w:r w:rsidR="003001AC" w:rsidRPr="00A077B4">
        <w:rPr>
          <w:color w:val="000000" w:themeColor="text1"/>
          <w:spacing w:val="-6"/>
          <w:szCs w:val="28"/>
          <w:lang w:val="vi-VN"/>
        </w:rPr>
        <w:t>2023</w:t>
      </w:r>
      <w:r w:rsidRPr="00A077B4">
        <w:rPr>
          <w:color w:val="000000" w:themeColor="text1"/>
          <w:spacing w:val="-6"/>
          <w:szCs w:val="28"/>
          <w:lang w:val="vi-VN"/>
        </w:rPr>
        <w:t xml:space="preserve">. Việc mở lại biên giới </w:t>
      </w:r>
      <w:r w:rsidR="003001AC" w:rsidRPr="00A077B4">
        <w:rPr>
          <w:color w:val="000000" w:themeColor="text1"/>
          <w:spacing w:val="-6"/>
          <w:szCs w:val="28"/>
          <w:lang w:val="vi-VN"/>
        </w:rPr>
        <w:t>của</w:t>
      </w:r>
      <w:r w:rsidRPr="00A077B4">
        <w:rPr>
          <w:color w:val="000000" w:themeColor="text1"/>
          <w:spacing w:val="-6"/>
          <w:szCs w:val="28"/>
          <w:lang w:val="vi-VN"/>
        </w:rPr>
        <w:t xml:space="preserve"> Trung </w:t>
      </w:r>
      <w:r w:rsidR="003001AC" w:rsidRPr="00A077B4">
        <w:rPr>
          <w:color w:val="000000" w:themeColor="text1"/>
          <w:spacing w:val="-6"/>
          <w:szCs w:val="28"/>
          <w:lang w:val="vi-VN"/>
        </w:rPr>
        <w:t>Quốc</w:t>
      </w:r>
      <w:r w:rsidRPr="00A077B4">
        <w:rPr>
          <w:color w:val="000000" w:themeColor="text1"/>
          <w:spacing w:val="-6"/>
          <w:szCs w:val="28"/>
          <w:lang w:val="vi-VN"/>
        </w:rPr>
        <w:t xml:space="preserve"> và tăng cường hoạt động của tuyến đường sắt Lào-</w:t>
      </w:r>
      <w:r w:rsidR="003001AC" w:rsidRPr="00A077B4">
        <w:rPr>
          <w:color w:val="000000" w:themeColor="text1"/>
          <w:spacing w:val="-6"/>
          <w:szCs w:val="28"/>
          <w:lang w:val="vi-VN"/>
        </w:rPr>
        <w:t>Trung Quốc</w:t>
      </w:r>
      <w:r w:rsidRPr="00A077B4">
        <w:rPr>
          <w:color w:val="000000" w:themeColor="text1"/>
          <w:spacing w:val="-6"/>
          <w:szCs w:val="28"/>
          <w:lang w:val="vi-VN"/>
        </w:rPr>
        <w:t xml:space="preserve"> sẽ hỗ trợ quá trình phục hồi. Đầu tư mới và liên tục từ các dự án cơ sở hạ tầng khu vực tư nhân, bao gồm các khu công nghiệp và năng lượng tái tạo, sẽ hỗ trợ hoạt động công nghiệp. Tuy nhiên, lạm phát sẽ vẫn ở mức cao cùng với lãi suất, làm giảm tiêu dùng và đầu tư trong nước. Không gian tài chính hạn chế sẽ tiếp tục cản trở quá trình phục hồi.</w:t>
      </w:r>
      <w:r w:rsidR="003001AC" w:rsidRPr="00A077B4">
        <w:rPr>
          <w:color w:val="000000" w:themeColor="text1"/>
          <w:spacing w:val="-6"/>
          <w:szCs w:val="28"/>
          <w:lang w:val="vi-VN"/>
        </w:rPr>
        <w:t xml:space="preserve"> </w:t>
      </w:r>
      <w:r w:rsidRPr="00A077B4">
        <w:rPr>
          <w:color w:val="000000" w:themeColor="text1"/>
          <w:spacing w:val="-6"/>
          <w:szCs w:val="28"/>
          <w:lang w:val="vi-VN"/>
        </w:rPr>
        <w:t xml:space="preserve">Du lịch và </w:t>
      </w:r>
      <w:r w:rsidR="001F1298" w:rsidRPr="00A077B4">
        <w:rPr>
          <w:color w:val="000000" w:themeColor="text1"/>
          <w:spacing w:val="-6"/>
          <w:szCs w:val="28"/>
        </w:rPr>
        <w:t>logistics</w:t>
      </w:r>
      <w:r w:rsidRPr="00A077B4">
        <w:rPr>
          <w:color w:val="000000" w:themeColor="text1"/>
          <w:spacing w:val="-6"/>
          <w:szCs w:val="28"/>
          <w:lang w:val="vi-VN"/>
        </w:rPr>
        <w:t xml:space="preserve"> sẽ thúc đẩy phục hồi trong lĩnh vực dịch vụ</w:t>
      </w:r>
      <w:r w:rsidR="00A76599" w:rsidRPr="00A077B4">
        <w:rPr>
          <w:color w:val="000000" w:themeColor="text1"/>
          <w:spacing w:val="-6"/>
          <w:szCs w:val="28"/>
        </w:rPr>
        <w:t>.</w:t>
      </w:r>
      <w:r w:rsidRPr="00A077B4">
        <w:rPr>
          <w:color w:val="000000" w:themeColor="text1"/>
          <w:spacing w:val="-6"/>
          <w:szCs w:val="28"/>
          <w:lang w:val="vi-VN"/>
        </w:rPr>
        <w:t xml:space="preserve"> </w:t>
      </w:r>
    </w:p>
    <w:p w14:paraId="682C550D" w14:textId="23B2CCCA" w:rsidR="004F6BF1" w:rsidRPr="00A077B4" w:rsidRDefault="003001AC" w:rsidP="00A077B4">
      <w:pPr>
        <w:spacing w:before="80" w:after="0" w:line="240" w:lineRule="auto"/>
        <w:ind w:firstLine="720"/>
        <w:jc w:val="both"/>
        <w:rPr>
          <w:color w:val="FF0000"/>
          <w:spacing w:val="-6"/>
          <w:szCs w:val="28"/>
        </w:rPr>
      </w:pPr>
      <w:r w:rsidRPr="00A077B4">
        <w:rPr>
          <w:color w:val="000000" w:themeColor="text1"/>
          <w:spacing w:val="-6"/>
          <w:szCs w:val="28"/>
          <w:lang w:val="vi-VN"/>
        </w:rPr>
        <w:t xml:space="preserve">Triển vọng kinh tế năm 2023 của Ma-lai-xi-a phụ thuộc </w:t>
      </w:r>
      <w:r w:rsidR="0076446C" w:rsidRPr="00A077B4">
        <w:rPr>
          <w:color w:val="000000" w:themeColor="text1"/>
          <w:spacing w:val="-6"/>
          <w:szCs w:val="28"/>
        </w:rPr>
        <w:t>vào</w:t>
      </w:r>
      <w:r w:rsidRPr="00A077B4">
        <w:rPr>
          <w:color w:val="000000" w:themeColor="text1"/>
          <w:spacing w:val="-6"/>
          <w:szCs w:val="28"/>
          <w:lang w:val="vi-VN"/>
        </w:rPr>
        <w:t xml:space="preserve"> </w:t>
      </w:r>
      <w:r w:rsidR="0076446C" w:rsidRPr="00A077B4">
        <w:rPr>
          <w:color w:val="000000" w:themeColor="text1"/>
          <w:spacing w:val="-6"/>
          <w:szCs w:val="28"/>
        </w:rPr>
        <w:t>nhiều yếu tố như</w:t>
      </w:r>
      <w:r w:rsidRPr="00A077B4">
        <w:rPr>
          <w:color w:val="000000" w:themeColor="text1"/>
          <w:spacing w:val="-6"/>
          <w:szCs w:val="28"/>
          <w:lang w:val="vi-VN"/>
        </w:rPr>
        <w:t xml:space="preserve"> tác động lan tỏa từ việc mở cửa trở lại của Trung Quốc, hỗ trợ chính sách của chính phủ và sự phát triển </w:t>
      </w:r>
      <w:r w:rsidR="0076446C" w:rsidRPr="00A077B4">
        <w:rPr>
          <w:color w:val="000000" w:themeColor="text1"/>
          <w:spacing w:val="-6"/>
          <w:szCs w:val="28"/>
        </w:rPr>
        <w:t>của</w:t>
      </w:r>
      <w:r w:rsidR="0076446C" w:rsidRPr="00A077B4">
        <w:rPr>
          <w:color w:val="000000" w:themeColor="text1"/>
          <w:spacing w:val="-6"/>
          <w:szCs w:val="28"/>
          <w:lang w:val="vi-VN"/>
        </w:rPr>
        <w:t xml:space="preserve"> </w:t>
      </w:r>
      <w:r w:rsidRPr="00A077B4">
        <w:rPr>
          <w:color w:val="000000" w:themeColor="text1"/>
          <w:spacing w:val="-6"/>
          <w:szCs w:val="28"/>
          <w:lang w:val="vi-VN"/>
        </w:rPr>
        <w:t xml:space="preserve">ngành công nghiệp điện tử. Suy thoái kinh tế toàn cầu, lạm phát dai dẳng và việc Cục Dự trữ </w:t>
      </w:r>
      <w:r w:rsidR="00A26FCE" w:rsidRPr="00A077B4">
        <w:rPr>
          <w:color w:val="000000" w:themeColor="text1"/>
          <w:spacing w:val="-6"/>
          <w:szCs w:val="28"/>
          <w:lang w:val="vi-VN"/>
        </w:rPr>
        <w:t>l</w:t>
      </w:r>
      <w:r w:rsidRPr="00A077B4">
        <w:rPr>
          <w:color w:val="000000" w:themeColor="text1"/>
          <w:spacing w:val="-6"/>
          <w:szCs w:val="28"/>
          <w:lang w:val="vi-VN"/>
        </w:rPr>
        <w:t xml:space="preserve">iên bang </w:t>
      </w:r>
      <w:r w:rsidR="00A26FCE" w:rsidRPr="00A077B4">
        <w:rPr>
          <w:color w:val="000000" w:themeColor="text1"/>
          <w:spacing w:val="-6"/>
          <w:szCs w:val="28"/>
          <w:lang w:val="vi-VN"/>
        </w:rPr>
        <w:t>Hoa Kỳ</w:t>
      </w:r>
      <w:r w:rsidRPr="00A077B4">
        <w:rPr>
          <w:color w:val="000000" w:themeColor="text1"/>
          <w:spacing w:val="-6"/>
          <w:szCs w:val="28"/>
          <w:lang w:val="vi-VN"/>
        </w:rPr>
        <w:t xml:space="preserve"> tiếp tục tăng lãi suất làm giảm triển vọng tăng trưởng năm 2023 của Ma-lai-xi-a. </w:t>
      </w:r>
      <w:r w:rsidR="00A26FCE" w:rsidRPr="00A077B4">
        <w:rPr>
          <w:color w:val="000000" w:themeColor="text1"/>
          <w:spacing w:val="-6"/>
          <w:szCs w:val="28"/>
          <w:lang w:val="vi-VN"/>
        </w:rPr>
        <w:t>Tuy nhiên</w:t>
      </w:r>
      <w:r w:rsidRPr="00A077B4">
        <w:rPr>
          <w:color w:val="000000" w:themeColor="text1"/>
          <w:spacing w:val="-6"/>
          <w:szCs w:val="28"/>
          <w:lang w:val="vi-VN"/>
        </w:rPr>
        <w:t xml:space="preserve">, tác động </w:t>
      </w:r>
      <w:r w:rsidR="00A26FCE" w:rsidRPr="00A077B4">
        <w:rPr>
          <w:color w:val="000000" w:themeColor="text1"/>
          <w:spacing w:val="-6"/>
          <w:szCs w:val="28"/>
          <w:lang w:val="vi-VN"/>
        </w:rPr>
        <w:t>tích cực từ</w:t>
      </w:r>
      <w:r w:rsidRPr="00A077B4">
        <w:rPr>
          <w:color w:val="000000" w:themeColor="text1"/>
          <w:spacing w:val="-6"/>
          <w:szCs w:val="28"/>
          <w:lang w:val="vi-VN"/>
        </w:rPr>
        <w:t xml:space="preserve"> tăng trưởng mạnh mẽ hơn ở Trung Quốc, sự phục hồi của ngành du lịch và sự hỗ trợ của chính phủ để thúc đẩy tiêu dùng trong nước và </w:t>
      </w:r>
      <w:r w:rsidR="00A26FCE" w:rsidRPr="00A077B4">
        <w:rPr>
          <w:color w:val="000000" w:themeColor="text1"/>
          <w:spacing w:val="-6"/>
          <w:szCs w:val="28"/>
          <w:lang w:val="vi-VN"/>
        </w:rPr>
        <w:t>kiểm chế</w:t>
      </w:r>
      <w:r w:rsidRPr="00A077B4">
        <w:rPr>
          <w:color w:val="000000" w:themeColor="text1"/>
          <w:spacing w:val="-6"/>
          <w:szCs w:val="28"/>
          <w:lang w:val="vi-VN"/>
        </w:rPr>
        <w:t xml:space="preserve"> lạm phát</w:t>
      </w:r>
      <w:r w:rsidR="00A26FCE" w:rsidRPr="00A077B4">
        <w:rPr>
          <w:color w:val="000000" w:themeColor="text1"/>
          <w:spacing w:val="-6"/>
          <w:szCs w:val="28"/>
          <w:lang w:val="vi-VN"/>
        </w:rPr>
        <w:t xml:space="preserve"> phần nào bù đắp cho những bất lợi từ môi trường bên ngoài</w:t>
      </w:r>
      <w:r w:rsidRPr="00A077B4">
        <w:rPr>
          <w:color w:val="000000" w:themeColor="text1"/>
          <w:spacing w:val="-6"/>
          <w:szCs w:val="28"/>
          <w:lang w:val="vi-VN"/>
        </w:rPr>
        <w:t>. GDP</w:t>
      </w:r>
      <w:r w:rsidR="00A26FCE" w:rsidRPr="00A077B4">
        <w:rPr>
          <w:color w:val="000000" w:themeColor="text1"/>
          <w:spacing w:val="-6"/>
          <w:szCs w:val="28"/>
          <w:lang w:val="vi-VN"/>
        </w:rPr>
        <w:t xml:space="preserve"> của Ma-lai-xi</w:t>
      </w:r>
      <w:r w:rsidR="00A76599" w:rsidRPr="00A077B4">
        <w:rPr>
          <w:color w:val="000000" w:themeColor="text1"/>
          <w:spacing w:val="-6"/>
          <w:szCs w:val="28"/>
        </w:rPr>
        <w:t>-</w:t>
      </w:r>
      <w:r w:rsidR="00A26FCE" w:rsidRPr="00A077B4">
        <w:rPr>
          <w:color w:val="000000" w:themeColor="text1"/>
          <w:spacing w:val="-6"/>
          <w:szCs w:val="28"/>
          <w:lang w:val="vi-VN"/>
        </w:rPr>
        <w:t>a</w:t>
      </w:r>
      <w:r w:rsidRPr="00A077B4">
        <w:rPr>
          <w:color w:val="000000" w:themeColor="text1"/>
          <w:spacing w:val="-6"/>
          <w:szCs w:val="28"/>
          <w:lang w:val="vi-VN"/>
        </w:rPr>
        <w:t xml:space="preserve"> </w:t>
      </w:r>
      <w:r w:rsidR="0076446C" w:rsidRPr="00A077B4">
        <w:rPr>
          <w:color w:val="000000" w:themeColor="text1"/>
          <w:spacing w:val="-6"/>
          <w:szCs w:val="28"/>
        </w:rPr>
        <w:t xml:space="preserve">năm 2023 </w:t>
      </w:r>
      <w:r w:rsidRPr="00A077B4">
        <w:rPr>
          <w:color w:val="000000" w:themeColor="text1"/>
          <w:spacing w:val="-6"/>
          <w:szCs w:val="28"/>
          <w:lang w:val="vi-VN"/>
        </w:rPr>
        <w:t xml:space="preserve">dự kiến sẽ tăng trưởng </w:t>
      </w:r>
      <w:r w:rsidR="00A26FCE" w:rsidRPr="00A077B4">
        <w:rPr>
          <w:color w:val="000000" w:themeColor="text1"/>
          <w:spacing w:val="-6"/>
          <w:szCs w:val="28"/>
          <w:lang w:val="vi-VN"/>
        </w:rPr>
        <w:t>4,7%.</w:t>
      </w:r>
      <w:r w:rsidR="00023FDD" w:rsidRPr="00A077B4">
        <w:rPr>
          <w:color w:val="000000" w:themeColor="text1"/>
          <w:spacing w:val="-6"/>
          <w:szCs w:val="28"/>
        </w:rPr>
        <w:t xml:space="preserve"> </w:t>
      </w:r>
      <w:r w:rsidR="004F6BF1" w:rsidRPr="00A077B4">
        <w:rPr>
          <w:color w:val="FF0000"/>
          <w:spacing w:val="-6"/>
          <w:szCs w:val="28"/>
        </w:rPr>
        <w:t>Tiêu dùng tư nhân được dự đoán sẽ vẫn là động lực tăng trưởng chính, tăng trung bình 5,6% vào năm 2023. Tâm lý người tiêu dùng đã sáng sủa hơn nhờ kỳ vọng về thu nhập và việc làm được cải thiệ</w:t>
      </w:r>
      <w:r w:rsidR="00023FDD" w:rsidRPr="00A077B4">
        <w:rPr>
          <w:color w:val="FF0000"/>
          <w:spacing w:val="-6"/>
          <w:szCs w:val="28"/>
        </w:rPr>
        <w:t>n</w:t>
      </w:r>
      <w:r w:rsidR="004F6BF1" w:rsidRPr="00A077B4">
        <w:rPr>
          <w:color w:val="FF0000"/>
          <w:spacing w:val="-6"/>
          <w:szCs w:val="28"/>
        </w:rPr>
        <w:t xml:space="preserve">. Triển vọng đầu tư được dự báo </w:t>
      </w:r>
      <w:r w:rsidR="00BC1410" w:rsidRPr="00A077B4">
        <w:rPr>
          <w:color w:val="FF0000"/>
          <w:spacing w:val="-6"/>
          <w:szCs w:val="28"/>
        </w:rPr>
        <w:t xml:space="preserve">sẽ </w:t>
      </w:r>
      <w:r w:rsidR="004F6BF1" w:rsidRPr="00A077B4">
        <w:rPr>
          <w:color w:val="FF0000"/>
          <w:spacing w:val="-6"/>
          <w:szCs w:val="28"/>
        </w:rPr>
        <w:t>tích cực do đầu tư trực tiếp nước ngoài tăng theo các sáng kiến tự động hóa và số hóa cũng như triển khai cơ sở hạ tầng 5G. Chính phủ đặt mục tiêu khuyến khích đầu tư vào công nghệ cao và cơ cấu lại các ưu đãi đầu tư trong các ngành công nghiệp trọng điểm như điện</w:t>
      </w:r>
      <w:r w:rsidR="00023FDD" w:rsidRPr="00A077B4">
        <w:rPr>
          <w:color w:val="FF0000"/>
          <w:spacing w:val="-6"/>
          <w:szCs w:val="28"/>
        </w:rPr>
        <w:t>,</w:t>
      </w:r>
      <w:r w:rsidR="004F6BF1" w:rsidRPr="00A077B4">
        <w:rPr>
          <w:color w:val="FF0000"/>
          <w:spacing w:val="-6"/>
          <w:szCs w:val="28"/>
        </w:rPr>
        <w:t xml:space="preserve"> điện tử và hàng không vũ trụ.</w:t>
      </w:r>
      <w:r w:rsidR="00023FDD" w:rsidRPr="00A077B4">
        <w:rPr>
          <w:color w:val="FF0000"/>
          <w:spacing w:val="-6"/>
          <w:szCs w:val="28"/>
        </w:rPr>
        <w:t xml:space="preserve"> </w:t>
      </w:r>
      <w:r w:rsidR="004F6BF1" w:rsidRPr="00A077B4">
        <w:rPr>
          <w:color w:val="FF0000"/>
          <w:spacing w:val="-6"/>
          <w:szCs w:val="28"/>
        </w:rPr>
        <w:t>Dịch vụ sẽ tiếp tục thúc đẩy tăng trưở</w:t>
      </w:r>
      <w:r w:rsidR="00023FDD" w:rsidRPr="00A077B4">
        <w:rPr>
          <w:color w:val="FF0000"/>
          <w:spacing w:val="-6"/>
          <w:szCs w:val="28"/>
        </w:rPr>
        <w:t>ng</w:t>
      </w:r>
      <w:r w:rsidR="004F6BF1" w:rsidRPr="00A077B4">
        <w:rPr>
          <w:color w:val="FF0000"/>
          <w:spacing w:val="-6"/>
          <w:szCs w:val="28"/>
        </w:rPr>
        <w:t xml:space="preserve"> khi lượng khách du lịch tăng lên và hoạt động kinh tế quay trở lại các điều kiện trước đại dịch, thúc đẩy hơn nữa các dịch vụ tiêu dùng và giả</w:t>
      </w:r>
      <w:r w:rsidR="00023FDD" w:rsidRPr="00A077B4">
        <w:rPr>
          <w:color w:val="FF0000"/>
          <w:spacing w:val="-6"/>
          <w:szCs w:val="28"/>
        </w:rPr>
        <w:t>i trí</w:t>
      </w:r>
      <w:r w:rsidR="004F6BF1" w:rsidRPr="00A077B4">
        <w:rPr>
          <w:color w:val="FF0000"/>
          <w:spacing w:val="-6"/>
          <w:szCs w:val="28"/>
        </w:rPr>
        <w:t>.</w:t>
      </w:r>
      <w:r w:rsidR="00023FDD" w:rsidRPr="00A077B4">
        <w:rPr>
          <w:color w:val="FF0000"/>
          <w:spacing w:val="-6"/>
          <w:szCs w:val="28"/>
        </w:rPr>
        <w:t xml:space="preserve"> </w:t>
      </w:r>
      <w:r w:rsidR="004F6BF1" w:rsidRPr="00A077B4">
        <w:rPr>
          <w:color w:val="FF0000"/>
          <w:spacing w:val="-6"/>
          <w:szCs w:val="28"/>
        </w:rPr>
        <w:t>Chính phủ có kế hoạch tiếp tục hỗ trợ tăng trưởng và tiêu dùng trong nước và tăng cường tính bền vữ</w:t>
      </w:r>
      <w:r w:rsidR="00023FDD" w:rsidRPr="00A077B4">
        <w:rPr>
          <w:color w:val="FF0000"/>
          <w:spacing w:val="-6"/>
          <w:szCs w:val="28"/>
        </w:rPr>
        <w:t>ng tài chính</w:t>
      </w:r>
      <w:r w:rsidR="004F6BF1" w:rsidRPr="00A077B4">
        <w:rPr>
          <w:color w:val="FF0000"/>
          <w:spacing w:val="-6"/>
          <w:szCs w:val="28"/>
        </w:rPr>
        <w:t xml:space="preserve">. Ngân sách năm 2023 là 386,1 tỷ RM, tăng 16,3% so với năm </w:t>
      </w:r>
      <w:r w:rsidR="00023FDD" w:rsidRPr="00A077B4">
        <w:rPr>
          <w:color w:val="FF0000"/>
          <w:spacing w:val="-6"/>
          <w:szCs w:val="28"/>
        </w:rPr>
        <w:t>trước,</w:t>
      </w:r>
      <w:r w:rsidR="004F6BF1" w:rsidRPr="00A077B4">
        <w:rPr>
          <w:color w:val="FF0000"/>
          <w:spacing w:val="-6"/>
          <w:szCs w:val="28"/>
        </w:rPr>
        <w:t xml:space="preserve"> để tài trợ cho các chương trình xóa đói giảm nghèo và cải thiện cơ sở hạ tầng công cộng cũng như cơ sở vật chấ</w:t>
      </w:r>
      <w:r w:rsidR="00023FDD" w:rsidRPr="00A077B4">
        <w:rPr>
          <w:color w:val="FF0000"/>
          <w:spacing w:val="-6"/>
          <w:szCs w:val="28"/>
        </w:rPr>
        <w:t>t nông thôn</w:t>
      </w:r>
      <w:r w:rsidR="004F6BF1" w:rsidRPr="00A077B4">
        <w:rPr>
          <w:color w:val="FF0000"/>
          <w:spacing w:val="-6"/>
          <w:szCs w:val="28"/>
        </w:rPr>
        <w:t>. Nợ quốc gia được dự báo sẽ đạt khoảng 1,2 nghìn tỷ RM</w:t>
      </w:r>
      <w:r w:rsidR="00023FDD" w:rsidRPr="00A077B4">
        <w:rPr>
          <w:color w:val="FF0000"/>
          <w:spacing w:val="-6"/>
          <w:szCs w:val="28"/>
        </w:rPr>
        <w:t xml:space="preserve">, </w:t>
      </w:r>
      <w:r w:rsidR="004F6BF1" w:rsidRPr="00A077B4">
        <w:rPr>
          <w:color w:val="FF0000"/>
          <w:spacing w:val="-6"/>
          <w:szCs w:val="28"/>
        </w:rPr>
        <w:t xml:space="preserve">vượt </w:t>
      </w:r>
      <w:r w:rsidR="00023FDD" w:rsidRPr="00A077B4">
        <w:rPr>
          <w:color w:val="FF0000"/>
          <w:spacing w:val="-6"/>
          <w:szCs w:val="28"/>
        </w:rPr>
        <w:t>60% GDP</w:t>
      </w:r>
      <w:r w:rsidR="004F6BF1" w:rsidRPr="00A077B4">
        <w:rPr>
          <w:color w:val="FF0000"/>
          <w:spacing w:val="-6"/>
          <w:szCs w:val="28"/>
        </w:rPr>
        <w:t>.</w:t>
      </w:r>
      <w:r w:rsidR="00023FDD" w:rsidRPr="00A077B4">
        <w:rPr>
          <w:color w:val="FF0000"/>
          <w:spacing w:val="-6"/>
          <w:szCs w:val="28"/>
        </w:rPr>
        <w:t xml:space="preserve"> </w:t>
      </w:r>
      <w:r w:rsidR="004F6BF1" w:rsidRPr="00A077B4">
        <w:rPr>
          <w:color w:val="FF0000"/>
          <w:spacing w:val="-6"/>
          <w:szCs w:val="28"/>
        </w:rPr>
        <w:t xml:space="preserve">Mặt khác, triển vọng có thể cải thiện với lượng khách du lịch đến từ Trung Quốc cao hơn và doanh thu cao hơn từ giá dầu mỏ và </w:t>
      </w:r>
      <w:r w:rsidR="00023FDD" w:rsidRPr="00A077B4">
        <w:rPr>
          <w:color w:val="FF0000"/>
          <w:spacing w:val="-6"/>
          <w:szCs w:val="28"/>
        </w:rPr>
        <w:t xml:space="preserve">một số hàng hóa </w:t>
      </w:r>
      <w:r w:rsidR="004F6BF1" w:rsidRPr="00A077B4">
        <w:rPr>
          <w:color w:val="FF0000"/>
          <w:spacing w:val="-6"/>
          <w:szCs w:val="28"/>
        </w:rPr>
        <w:t>khác.</w:t>
      </w:r>
      <w:r w:rsidR="00BC1410" w:rsidRPr="00A077B4">
        <w:rPr>
          <w:color w:val="FF0000"/>
          <w:spacing w:val="-6"/>
          <w:szCs w:val="28"/>
        </w:rPr>
        <w:t xml:space="preserve"> Rủi ro đối với tăng trưởng của Ma-lai-xi-a là xuất khẩu có khả năng bị thu hẹp do nhu cầu toàn cầu chậm lại đối với ngành điện và điện tử. Đồng thời, căng thẳng địa chính trị ngày càng trầm trọng có thể làm gián đoạn nguồn cung và làm tăng thêm chi phí thương mại.</w:t>
      </w:r>
    </w:p>
    <w:p w14:paraId="07C7C8D7" w14:textId="56867645" w:rsidR="005556A7" w:rsidRPr="00A077B4" w:rsidRDefault="00F65ED6" w:rsidP="00A077B4">
      <w:pPr>
        <w:spacing w:before="80" w:after="0" w:line="240" w:lineRule="auto"/>
        <w:ind w:firstLine="720"/>
        <w:jc w:val="both"/>
        <w:rPr>
          <w:color w:val="000000" w:themeColor="text1"/>
          <w:spacing w:val="-6"/>
          <w:szCs w:val="28"/>
        </w:rPr>
      </w:pPr>
      <w:r w:rsidRPr="00A077B4">
        <w:rPr>
          <w:color w:val="000000" w:themeColor="text1"/>
          <w:spacing w:val="-6"/>
          <w:szCs w:val="28"/>
          <w:lang w:val="vi-VN"/>
        </w:rPr>
        <w:t xml:space="preserve">Tăng trưởng </w:t>
      </w:r>
      <w:r w:rsidR="00796556" w:rsidRPr="00A077B4">
        <w:rPr>
          <w:color w:val="000000" w:themeColor="text1"/>
          <w:spacing w:val="-6"/>
          <w:szCs w:val="28"/>
          <w:lang w:val="vi-VN"/>
        </w:rPr>
        <w:t xml:space="preserve">của Phi-li-pin </w:t>
      </w:r>
      <w:r w:rsidRPr="00A077B4">
        <w:rPr>
          <w:color w:val="000000" w:themeColor="text1"/>
          <w:spacing w:val="-6"/>
          <w:szCs w:val="28"/>
          <w:lang w:val="vi-VN"/>
        </w:rPr>
        <w:t xml:space="preserve">dự </w:t>
      </w:r>
      <w:r w:rsidR="0076446C" w:rsidRPr="00A077B4">
        <w:rPr>
          <w:color w:val="000000" w:themeColor="text1"/>
          <w:spacing w:val="-6"/>
          <w:szCs w:val="28"/>
        </w:rPr>
        <w:t>báo</w:t>
      </w:r>
      <w:r w:rsidR="0076446C" w:rsidRPr="00A077B4">
        <w:rPr>
          <w:color w:val="000000" w:themeColor="text1"/>
          <w:spacing w:val="-6"/>
          <w:szCs w:val="28"/>
          <w:lang w:val="vi-VN"/>
        </w:rPr>
        <w:t xml:space="preserve"> </w:t>
      </w:r>
      <w:r w:rsidRPr="00A077B4">
        <w:rPr>
          <w:color w:val="000000" w:themeColor="text1"/>
          <w:spacing w:val="-6"/>
          <w:szCs w:val="28"/>
          <w:lang w:val="vi-VN"/>
        </w:rPr>
        <w:t xml:space="preserve">sẽ vẫn mạnh, mặc dù bị chậm lại bởi </w:t>
      </w:r>
      <w:r w:rsidR="00796556" w:rsidRPr="00A077B4">
        <w:rPr>
          <w:color w:val="000000" w:themeColor="text1"/>
          <w:spacing w:val="-6"/>
          <w:szCs w:val="28"/>
          <w:lang w:val="vi-VN"/>
        </w:rPr>
        <w:t xml:space="preserve">suy giảm </w:t>
      </w:r>
      <w:r w:rsidRPr="00A077B4">
        <w:rPr>
          <w:color w:val="000000" w:themeColor="text1"/>
          <w:spacing w:val="-6"/>
          <w:szCs w:val="28"/>
          <w:lang w:val="vi-VN"/>
        </w:rPr>
        <w:t>toàn cầu, lạm phát cao và chính sách tiền tệ thắt chặt hơn. Tăng trưởng GDP được dự</w:t>
      </w:r>
      <w:r w:rsidR="00796556" w:rsidRPr="00A077B4">
        <w:rPr>
          <w:color w:val="000000" w:themeColor="text1"/>
          <w:spacing w:val="-6"/>
          <w:szCs w:val="28"/>
          <w:lang w:val="vi-VN"/>
        </w:rPr>
        <w:t xml:space="preserve"> báo </w:t>
      </w:r>
      <w:r w:rsidR="0076446C" w:rsidRPr="00A077B4">
        <w:rPr>
          <w:color w:val="000000" w:themeColor="text1"/>
          <w:spacing w:val="-6"/>
          <w:szCs w:val="28"/>
        </w:rPr>
        <w:t>đạt</w:t>
      </w:r>
      <w:r w:rsidR="0076446C" w:rsidRPr="00A077B4">
        <w:rPr>
          <w:color w:val="000000" w:themeColor="text1"/>
          <w:spacing w:val="-6"/>
          <w:szCs w:val="28"/>
          <w:lang w:val="vi-VN"/>
        </w:rPr>
        <w:t xml:space="preserve"> </w:t>
      </w:r>
      <w:r w:rsidR="00796556" w:rsidRPr="00A077B4">
        <w:rPr>
          <w:color w:val="000000" w:themeColor="text1"/>
          <w:spacing w:val="-6"/>
          <w:szCs w:val="28"/>
          <w:lang w:val="vi-VN"/>
        </w:rPr>
        <w:t>6,0% năm 2023</w:t>
      </w:r>
      <w:r w:rsidRPr="00A077B4">
        <w:rPr>
          <w:color w:val="000000" w:themeColor="text1"/>
          <w:spacing w:val="-6"/>
          <w:szCs w:val="28"/>
          <w:lang w:val="vi-VN"/>
        </w:rPr>
        <w:t xml:space="preserve">. Tiêu dùng và đầu tư tư nhân sẽ tiếp tục mở rộng, mặc dù đã giảm bớt so với tốc độ nhanh của năm </w:t>
      </w:r>
      <w:r w:rsidR="00796556" w:rsidRPr="00A077B4">
        <w:rPr>
          <w:color w:val="000000" w:themeColor="text1"/>
          <w:spacing w:val="-6"/>
          <w:szCs w:val="28"/>
          <w:lang w:val="vi-VN"/>
        </w:rPr>
        <w:t>2022</w:t>
      </w:r>
      <w:r w:rsidRPr="00A077B4">
        <w:rPr>
          <w:color w:val="000000" w:themeColor="text1"/>
          <w:spacing w:val="-6"/>
          <w:szCs w:val="28"/>
          <w:lang w:val="vi-VN"/>
        </w:rPr>
        <w:t xml:space="preserve">. </w:t>
      </w:r>
      <w:r w:rsidR="00796556" w:rsidRPr="00A077B4">
        <w:rPr>
          <w:color w:val="000000" w:themeColor="text1"/>
          <w:spacing w:val="-6"/>
          <w:szCs w:val="28"/>
          <w:lang w:val="vi-VN"/>
        </w:rPr>
        <w:t>C</w:t>
      </w:r>
      <w:r w:rsidR="001809CF" w:rsidRPr="00A077B4">
        <w:rPr>
          <w:color w:val="000000" w:themeColor="text1"/>
          <w:spacing w:val="-6"/>
          <w:szCs w:val="28"/>
          <w:lang w:val="vi-VN"/>
        </w:rPr>
        <w:t xml:space="preserve">hi tiêu </w:t>
      </w:r>
      <w:r w:rsidR="00796556" w:rsidRPr="00A077B4">
        <w:rPr>
          <w:color w:val="000000" w:themeColor="text1"/>
          <w:spacing w:val="-6"/>
          <w:szCs w:val="28"/>
          <w:lang w:val="vi-VN"/>
        </w:rPr>
        <w:t xml:space="preserve">hộ gia đình </w:t>
      </w:r>
      <w:r w:rsidR="001809CF" w:rsidRPr="00A077B4">
        <w:rPr>
          <w:color w:val="000000" w:themeColor="text1"/>
          <w:spacing w:val="-6"/>
          <w:szCs w:val="28"/>
          <w:lang w:val="vi-VN"/>
        </w:rPr>
        <w:t xml:space="preserve">sẽ được thúc đẩy nhờ việc làm tăng và kiều hối ổn định từ người lao động </w:t>
      </w:r>
      <w:r w:rsidR="00796556" w:rsidRPr="00A077B4">
        <w:rPr>
          <w:color w:val="000000" w:themeColor="text1"/>
          <w:spacing w:val="-6"/>
          <w:szCs w:val="28"/>
          <w:lang w:val="vi-VN"/>
        </w:rPr>
        <w:t xml:space="preserve">Phi-li-pin </w:t>
      </w:r>
      <w:r w:rsidR="001809CF" w:rsidRPr="00A077B4">
        <w:rPr>
          <w:color w:val="000000" w:themeColor="text1"/>
          <w:spacing w:val="-6"/>
          <w:szCs w:val="28"/>
          <w:lang w:val="vi-VN"/>
        </w:rPr>
        <w:t xml:space="preserve">ở nước ngoài. </w:t>
      </w:r>
      <w:r w:rsidR="00D45DD9" w:rsidRPr="00A077B4">
        <w:rPr>
          <w:color w:val="000000" w:themeColor="text1"/>
          <w:spacing w:val="-6"/>
          <w:szCs w:val="28"/>
        </w:rPr>
        <w:t>G</w:t>
      </w:r>
      <w:r w:rsidR="001809CF" w:rsidRPr="00A077B4">
        <w:rPr>
          <w:color w:val="000000" w:themeColor="text1"/>
          <w:spacing w:val="-6"/>
          <w:szCs w:val="28"/>
          <w:lang w:val="vi-VN"/>
        </w:rPr>
        <w:t xml:space="preserve">iảm thuế thu nhập vào năm 2023 đối với hầu hết người lao động sẽ tạo ra </w:t>
      </w:r>
      <w:r w:rsidR="001809CF" w:rsidRPr="00A077B4">
        <w:rPr>
          <w:color w:val="000000" w:themeColor="text1"/>
          <w:spacing w:val="-6"/>
          <w:szCs w:val="28"/>
          <w:lang w:val="vi-VN"/>
        </w:rPr>
        <w:lastRenderedPageBreak/>
        <w:t>động lực thúc đẩy hơn nữa cho tăng trưởng.</w:t>
      </w:r>
      <w:r w:rsidR="003A6D76" w:rsidRPr="00A077B4">
        <w:rPr>
          <w:color w:val="000000" w:themeColor="text1"/>
          <w:spacing w:val="-6"/>
          <w:szCs w:val="28"/>
        </w:rPr>
        <w:t xml:space="preserve"> </w:t>
      </w:r>
      <w:r w:rsidR="005556A7" w:rsidRPr="00A077B4">
        <w:rPr>
          <w:color w:val="FF0000"/>
          <w:spacing w:val="-6"/>
          <w:szCs w:val="28"/>
        </w:rPr>
        <w:t>Tỷ lệ thất nghiệp giảm từ 6,4% trong tháng 01/2022 xuống 4,8% trong tháng 01/2023, thấp hơn so với mức trước đại dịch. Thêm 4,1 triệu việc làm đã được tạo ra trong năm 2023, phần lớn trong các ngành dịch vụ, đặc biệt là thương mại bán buôn và bán lẻ, vận tải, dịch vụ lưu trú và ăn uống. Việc làm trong lĩnh vực nông nghiệp và công nghiệp cũng tăng nhưng ở mức độ thấp hơn. Tăng trưởng trong lĩnh vực dịch vụ, chiếm khoảng 60% GDP, dự kiến sẽ tiếp tục mạnh mẽ. Tiêu dùng cá nhân sẽ củng cố thương mại bán lẻ, trong khi lượng khách du lịch quốc tế ngày càng tăng sẽ mang lại lợi ích cho một loạt dịch vụ, đáng chú ý nhất là khách sạn và nhà hàng, vận tải và thông tin liên lạc. Trong năm 202</w:t>
      </w:r>
      <w:r w:rsidR="00F77C05" w:rsidRPr="00A077B4">
        <w:rPr>
          <w:color w:val="FF0000"/>
          <w:spacing w:val="-6"/>
          <w:szCs w:val="28"/>
        </w:rPr>
        <w:t>3</w:t>
      </w:r>
      <w:r w:rsidR="005556A7" w:rsidRPr="00A077B4">
        <w:rPr>
          <w:color w:val="FF0000"/>
          <w:spacing w:val="-6"/>
          <w:szCs w:val="28"/>
        </w:rPr>
        <w:t xml:space="preserve">, Phi-li-pin kỳ vọng du lịch nội địa sẽ phục hồi về mức của năm 2019 và du lịch quốc tế nhắm mục tiêu đón ít nhất 4,8 triệu du </w:t>
      </w:r>
      <w:r w:rsidR="00BB397B" w:rsidRPr="00A077B4">
        <w:rPr>
          <w:color w:val="FF0000"/>
          <w:spacing w:val="-6"/>
          <w:szCs w:val="28"/>
        </w:rPr>
        <w:t>khách</w:t>
      </w:r>
      <w:r w:rsidR="005556A7" w:rsidRPr="00A077B4">
        <w:rPr>
          <w:color w:val="FF0000"/>
          <w:spacing w:val="-6"/>
          <w:szCs w:val="28"/>
        </w:rPr>
        <w:t>, gần gấp đôi lượng khách vào năm 2022 nhưng vẫn thấp hơn nhiều so với 8,3 triệu lượt trước đại dịch.</w:t>
      </w:r>
      <w:r w:rsidR="002A6D45" w:rsidRPr="00A077B4">
        <w:rPr>
          <w:color w:val="FF0000"/>
          <w:spacing w:val="-6"/>
          <w:szCs w:val="28"/>
        </w:rPr>
        <w:t xml:space="preserve"> </w:t>
      </w:r>
      <w:r w:rsidR="005556A7" w:rsidRPr="00A077B4">
        <w:rPr>
          <w:color w:val="FF0000"/>
          <w:spacing w:val="-6"/>
          <w:szCs w:val="28"/>
        </w:rPr>
        <w:t xml:space="preserve">Triển vọng </w:t>
      </w:r>
      <w:r w:rsidR="002A6D45" w:rsidRPr="00A077B4">
        <w:rPr>
          <w:color w:val="FF0000"/>
          <w:spacing w:val="-6"/>
          <w:szCs w:val="28"/>
        </w:rPr>
        <w:t xml:space="preserve">ngành </w:t>
      </w:r>
      <w:r w:rsidR="005556A7" w:rsidRPr="00A077B4">
        <w:rPr>
          <w:color w:val="FF0000"/>
          <w:spacing w:val="-6"/>
          <w:szCs w:val="28"/>
        </w:rPr>
        <w:t xml:space="preserve">xây dựng và </w:t>
      </w:r>
      <w:r w:rsidR="002A6D45" w:rsidRPr="00A077B4">
        <w:rPr>
          <w:color w:val="FF0000"/>
          <w:spacing w:val="-6"/>
          <w:szCs w:val="28"/>
        </w:rPr>
        <w:t>công nghiệp</w:t>
      </w:r>
      <w:r w:rsidR="005556A7" w:rsidRPr="00A077B4">
        <w:rPr>
          <w:color w:val="FF0000"/>
          <w:spacing w:val="-6"/>
          <w:szCs w:val="28"/>
        </w:rPr>
        <w:t xml:space="preserve"> vẫn thuận lợi, được củng cố bởi nhu cầu trong nước. </w:t>
      </w:r>
      <w:r w:rsidR="002A6D45" w:rsidRPr="00A077B4">
        <w:rPr>
          <w:color w:val="FF0000"/>
          <w:spacing w:val="-6"/>
          <w:szCs w:val="28"/>
        </w:rPr>
        <w:t xml:space="preserve">Trong năm 2023, chi tiêu chính phủ được dự toán cao hơn 4,9% so với năm 2022 để chi trả cho các chương trình xã hội, cơ sở hạ tầng và quản lý rủi ro thiên tai. Chi tiêu cho cơ sở hạ tầng được dự </w:t>
      </w:r>
      <w:r w:rsidR="00F77C05" w:rsidRPr="00A077B4">
        <w:rPr>
          <w:color w:val="FF0000"/>
          <w:spacing w:val="-6"/>
          <w:szCs w:val="28"/>
        </w:rPr>
        <w:t>báo</w:t>
      </w:r>
      <w:r w:rsidR="00F77C05" w:rsidRPr="00A077B4">
        <w:rPr>
          <w:color w:val="FF0000"/>
          <w:spacing w:val="-6"/>
          <w:szCs w:val="28"/>
        </w:rPr>
        <w:t xml:space="preserve"> </w:t>
      </w:r>
      <w:r w:rsidR="002A6D45" w:rsidRPr="00A077B4">
        <w:rPr>
          <w:color w:val="FF0000"/>
          <w:spacing w:val="-6"/>
          <w:szCs w:val="28"/>
        </w:rPr>
        <w:t>ở mức 5,0%–6,0% GDP trong năm 2023. Vào tháng 3/2023, chính phủ đã phê duyệt danh sách 194 dự án ưu tiên có tác động lớn với tổng trị giá khoảng 165 tỷ đô la để tăng cường hơn nữa chương trình cơ sở hạ tầng của Phi-li-pin. Thâm hụt tài khoản vãng lai được thu hẹp, phần nào phản ánh gia tăng xuất khẩu dịch vụ. Tăng trưởng xuất khẩu hàng hóa dự kiến sẽ ở mức vừa phải vào năm 2023 do triển vọng đối với các thị trường lớn bên ngoài không đồng đều.</w:t>
      </w:r>
      <w:r w:rsidR="000D5E1B" w:rsidRPr="00A077B4">
        <w:rPr>
          <w:color w:val="FF0000"/>
          <w:spacing w:val="-6"/>
          <w:szCs w:val="28"/>
        </w:rPr>
        <w:t xml:space="preserve"> Rủi ro với nền kinh tế Phi-li-pin trong thời gian tới là sự suy giảm mạnh hơn ở các nền kinh tế phát triển, căng thẳng địa chính trị gia tăng và giá hàng hóa toàn cầu cao hơn kỳ vọng</w:t>
      </w:r>
      <w:r w:rsidR="000D5E1B" w:rsidRPr="00A077B4">
        <w:rPr>
          <w:color w:val="000000" w:themeColor="text1"/>
          <w:spacing w:val="-6"/>
          <w:szCs w:val="28"/>
        </w:rPr>
        <w:t>.</w:t>
      </w:r>
    </w:p>
    <w:p w14:paraId="16708FEA" w14:textId="77777777" w:rsidR="00434003" w:rsidRPr="00A077B4" w:rsidRDefault="00434003" w:rsidP="00A077B4">
      <w:pPr>
        <w:spacing w:before="80" w:after="0" w:line="240" w:lineRule="auto"/>
        <w:ind w:firstLine="720"/>
        <w:jc w:val="both"/>
        <w:rPr>
          <w:color w:val="000000" w:themeColor="text1"/>
          <w:spacing w:val="-6"/>
          <w:szCs w:val="28"/>
          <w:lang w:val="vi-VN"/>
        </w:rPr>
      </w:pPr>
      <w:r w:rsidRPr="00A077B4">
        <w:rPr>
          <w:color w:val="000000" w:themeColor="text1"/>
          <w:spacing w:val="-6"/>
          <w:szCs w:val="28"/>
          <w:lang w:val="vi-VN"/>
        </w:rPr>
        <w:t xml:space="preserve">Xin-ga-po sẽ tăng trưởng vừa phải ở mức 2,0% vào năm 2023 do sản xuất chậm lại và nhu cầu bên ngoài suy yếu. Động lực tăng trưởng chính là dịch vụ, đặc biệt là các dịch vụ liên quan đến du lịch khi du lịch hàng không quốc tế và du lịch trong nước dự kiến sẽ phục hồi để tăng tốc sau khi Trung Quốc mở cửa trở lại. Tuy nhiên, lĩnh vực tài chính trì trệ sẽ ảnh hưởng đến tăng trưởng khi nền kinh tế toàn cầu chậm lại và các điều kiện tài chính thắt chặt. Hoạt động sản xuất sẽ vẫn yếu vào năm 2023. </w:t>
      </w:r>
      <w:r w:rsidR="00D45DD9" w:rsidRPr="00A077B4">
        <w:rPr>
          <w:color w:val="000000" w:themeColor="text1"/>
          <w:spacing w:val="-6"/>
          <w:szCs w:val="28"/>
        </w:rPr>
        <w:t>Niềm tin</w:t>
      </w:r>
      <w:r w:rsidRPr="00A077B4">
        <w:rPr>
          <w:color w:val="000000" w:themeColor="text1"/>
          <w:spacing w:val="-6"/>
          <w:szCs w:val="28"/>
          <w:lang w:val="vi-VN"/>
        </w:rPr>
        <w:t xml:space="preserve"> kinh doanh trong lĩnh vực sản xuất vẫn tiêu cực, do các công ty tiếp tục đối mặt với nhu cầu suy giảm đối với hàng hóa sản xuất.</w:t>
      </w:r>
    </w:p>
    <w:p w14:paraId="774DB322" w14:textId="77777777" w:rsidR="00CC5C6F" w:rsidRDefault="00135F3F" w:rsidP="00A077B4">
      <w:pPr>
        <w:spacing w:before="80" w:after="0" w:line="240" w:lineRule="auto"/>
        <w:ind w:firstLine="720"/>
        <w:jc w:val="both"/>
        <w:rPr>
          <w:color w:val="000000" w:themeColor="text1"/>
          <w:spacing w:val="-4"/>
          <w:szCs w:val="28"/>
          <w:lang w:val="vi-VN"/>
        </w:rPr>
      </w:pPr>
      <w:r w:rsidRPr="00A077B4">
        <w:rPr>
          <w:color w:val="000000" w:themeColor="text1"/>
          <w:spacing w:val="-6"/>
          <w:szCs w:val="28"/>
          <w:lang w:val="vi-VN"/>
        </w:rPr>
        <w:t>Nền kinh tế Thái Lan được dự báo sẽ tăng trưởng vừa phải</w:t>
      </w:r>
      <w:r w:rsidR="001F1298" w:rsidRPr="00A077B4">
        <w:rPr>
          <w:color w:val="000000" w:themeColor="text1"/>
          <w:spacing w:val="-6"/>
          <w:szCs w:val="28"/>
        </w:rPr>
        <w:t xml:space="preserve"> nhờ</w:t>
      </w:r>
      <w:r w:rsidRPr="00A077B4">
        <w:rPr>
          <w:color w:val="000000" w:themeColor="text1"/>
          <w:spacing w:val="-6"/>
          <w:szCs w:val="28"/>
          <w:lang w:val="vi-VN"/>
        </w:rPr>
        <w:t xml:space="preserve"> du lịch và tiêu dùng tư nhân. </w:t>
      </w:r>
      <w:r w:rsidR="001F1298" w:rsidRPr="00A077B4">
        <w:rPr>
          <w:color w:val="000000" w:themeColor="text1"/>
          <w:spacing w:val="-6"/>
          <w:szCs w:val="28"/>
        </w:rPr>
        <w:t>T</w:t>
      </w:r>
      <w:r w:rsidRPr="00A077B4">
        <w:rPr>
          <w:color w:val="000000" w:themeColor="text1"/>
          <w:spacing w:val="-6"/>
          <w:szCs w:val="28"/>
          <w:lang w:val="vi-VN"/>
        </w:rPr>
        <w:t xml:space="preserve">ăng trưởng GDP thực tế </w:t>
      </w:r>
      <w:r w:rsidR="0076446C" w:rsidRPr="00A077B4">
        <w:rPr>
          <w:color w:val="000000" w:themeColor="text1"/>
          <w:spacing w:val="-6"/>
          <w:szCs w:val="28"/>
        </w:rPr>
        <w:t xml:space="preserve">của Thái Lan </w:t>
      </w:r>
      <w:r w:rsidRPr="00A077B4">
        <w:rPr>
          <w:color w:val="000000" w:themeColor="text1"/>
          <w:spacing w:val="-6"/>
          <w:szCs w:val="28"/>
          <w:lang w:val="vi-VN"/>
        </w:rPr>
        <w:t xml:space="preserve">được dự báo </w:t>
      </w:r>
      <w:r w:rsidR="001F1298" w:rsidRPr="00A077B4">
        <w:rPr>
          <w:color w:val="000000" w:themeColor="text1"/>
          <w:spacing w:val="-6"/>
          <w:szCs w:val="28"/>
        </w:rPr>
        <w:t>đạt</w:t>
      </w:r>
      <w:r w:rsidRPr="00A077B4">
        <w:rPr>
          <w:color w:val="000000" w:themeColor="text1"/>
          <w:spacing w:val="-6"/>
          <w:szCs w:val="28"/>
          <w:lang w:val="vi-VN"/>
        </w:rPr>
        <w:t xml:space="preserve"> 3,3% </w:t>
      </w:r>
      <w:r w:rsidR="0076446C" w:rsidRPr="00A077B4">
        <w:rPr>
          <w:color w:val="000000" w:themeColor="text1"/>
          <w:spacing w:val="-6"/>
          <w:szCs w:val="28"/>
        </w:rPr>
        <w:t>trong</w:t>
      </w:r>
      <w:r w:rsidR="0076446C" w:rsidRPr="00A077B4">
        <w:rPr>
          <w:color w:val="000000" w:themeColor="text1"/>
          <w:spacing w:val="-6"/>
          <w:szCs w:val="28"/>
          <w:lang w:val="vi-VN"/>
        </w:rPr>
        <w:t xml:space="preserve"> </w:t>
      </w:r>
      <w:r w:rsidRPr="00A077B4">
        <w:rPr>
          <w:color w:val="000000" w:themeColor="text1"/>
          <w:spacing w:val="-6"/>
          <w:szCs w:val="28"/>
          <w:lang w:val="vi-VN"/>
        </w:rPr>
        <w:t>năm 2023</w:t>
      </w:r>
      <w:r w:rsidR="00CC5C6F" w:rsidRPr="00A077B4">
        <w:rPr>
          <w:color w:val="000000" w:themeColor="text1"/>
          <w:spacing w:val="-6"/>
          <w:szCs w:val="28"/>
          <w:lang w:val="vi-VN"/>
        </w:rPr>
        <w:t>.</w:t>
      </w:r>
    </w:p>
    <w:p w14:paraId="7ADE2937" w14:textId="1D3E1D84" w:rsidR="006A76A8" w:rsidRDefault="006A76A8" w:rsidP="002E581A">
      <w:pPr>
        <w:spacing w:before="120" w:after="120" w:line="240" w:lineRule="auto"/>
        <w:jc w:val="center"/>
        <w:rPr>
          <w:b/>
          <w:color w:val="000000" w:themeColor="text1"/>
          <w:lang w:val="vi-VN"/>
        </w:rPr>
      </w:pPr>
      <w:r w:rsidRPr="00A42EBD">
        <w:rPr>
          <w:b/>
          <w:color w:val="000000" w:themeColor="text1"/>
          <w:lang w:val="vi-VN"/>
        </w:rPr>
        <w:t>Hình 6. Dự báo tăng trưởng năm 202</w:t>
      </w:r>
      <w:r w:rsidR="00533BEB" w:rsidRPr="00A42EBD">
        <w:rPr>
          <w:b/>
          <w:color w:val="000000" w:themeColor="text1"/>
          <w:lang w:val="vi-VN"/>
        </w:rPr>
        <w:t>3</w:t>
      </w:r>
      <w:r w:rsidRPr="00A42EBD">
        <w:rPr>
          <w:b/>
          <w:color w:val="000000" w:themeColor="text1"/>
          <w:lang w:val="vi-VN"/>
        </w:rPr>
        <w:t xml:space="preserve"> của một số quốc gia ASEAN </w:t>
      </w:r>
    </w:p>
    <w:p w14:paraId="37E02B93" w14:textId="77777777" w:rsidR="00335B0A" w:rsidRDefault="00335B0A" w:rsidP="00A077B4">
      <w:pPr>
        <w:spacing w:before="120" w:after="120" w:line="240" w:lineRule="auto"/>
        <w:jc w:val="center"/>
        <w:rPr>
          <w:b/>
          <w:color w:val="000000" w:themeColor="text1"/>
          <w:lang w:val="vi-VN"/>
        </w:rPr>
      </w:pPr>
      <w:r>
        <w:rPr>
          <w:noProof/>
        </w:rPr>
        <w:drawing>
          <wp:inline distT="0" distB="0" distL="0" distR="0" wp14:anchorId="521A25C1" wp14:editId="50273D52">
            <wp:extent cx="5319422" cy="1600200"/>
            <wp:effectExtent l="0" t="0" r="1460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F48557" w14:textId="77777777" w:rsidR="00335B0A" w:rsidRPr="001D79BA" w:rsidRDefault="00335B0A" w:rsidP="00060AE9">
      <w:pPr>
        <w:spacing w:before="120" w:after="120" w:line="240" w:lineRule="auto"/>
        <w:ind w:firstLine="720"/>
        <w:jc w:val="both"/>
        <w:rPr>
          <w:i/>
          <w:color w:val="000000" w:themeColor="text1"/>
          <w:sz w:val="24"/>
          <w:szCs w:val="24"/>
        </w:rPr>
      </w:pPr>
      <w:r w:rsidRPr="00A42EBD">
        <w:rPr>
          <w:i/>
          <w:color w:val="000000" w:themeColor="text1"/>
          <w:sz w:val="24"/>
          <w:szCs w:val="24"/>
          <w:lang w:val="vi-VN"/>
        </w:rPr>
        <w:t xml:space="preserve">Nguồn: </w:t>
      </w:r>
      <w:r>
        <w:rPr>
          <w:i/>
          <w:color w:val="000000" w:themeColor="text1"/>
          <w:sz w:val="24"/>
          <w:szCs w:val="24"/>
        </w:rPr>
        <w:t>ADB</w:t>
      </w:r>
    </w:p>
    <w:p w14:paraId="18AC1367" w14:textId="77777777" w:rsidR="001E0529" w:rsidRDefault="001E0529" w:rsidP="00060AE9">
      <w:pPr>
        <w:spacing w:before="120" w:after="120" w:line="240" w:lineRule="auto"/>
        <w:ind w:firstLine="720"/>
        <w:jc w:val="both"/>
        <w:rPr>
          <w:spacing w:val="-4"/>
          <w:szCs w:val="28"/>
          <w:lang w:val="vi-VN"/>
        </w:rPr>
      </w:pPr>
      <w:r w:rsidRPr="00335B0A">
        <w:rPr>
          <w:spacing w:val="-4"/>
          <w:szCs w:val="28"/>
          <w:lang w:val="vi-VN"/>
        </w:rPr>
        <w:lastRenderedPageBreak/>
        <w:t>Theo Trading Economics, dự báo tăng trưởng Quý I</w:t>
      </w:r>
      <w:r w:rsidRPr="00335B0A">
        <w:rPr>
          <w:spacing w:val="-4"/>
          <w:szCs w:val="28"/>
        </w:rPr>
        <w:t>I</w:t>
      </w:r>
      <w:r w:rsidRPr="00335B0A">
        <w:rPr>
          <w:spacing w:val="-4"/>
          <w:szCs w:val="28"/>
          <w:lang w:val="vi-VN"/>
        </w:rPr>
        <w:t xml:space="preserve">/2023 so với cùng kỳ năm trước của In-đô-nê-xi-a, Ma-lai-xi-a, Phi-li-pin, Thái Lan, Xin-ga-po lần lượt đạt </w:t>
      </w:r>
      <w:r w:rsidRPr="00335B0A">
        <w:rPr>
          <w:spacing w:val="-4"/>
          <w:szCs w:val="28"/>
        </w:rPr>
        <w:t>5,1</w:t>
      </w:r>
      <w:r w:rsidRPr="00335B0A">
        <w:rPr>
          <w:spacing w:val="-4"/>
          <w:szCs w:val="28"/>
          <w:lang w:val="vi-VN"/>
        </w:rPr>
        <w:t xml:space="preserve">%, </w:t>
      </w:r>
      <w:r w:rsidRPr="00335B0A">
        <w:rPr>
          <w:spacing w:val="-4"/>
          <w:szCs w:val="28"/>
        </w:rPr>
        <w:t>4,7</w:t>
      </w:r>
      <w:r w:rsidRPr="00335B0A">
        <w:rPr>
          <w:spacing w:val="-4"/>
          <w:szCs w:val="28"/>
          <w:lang w:val="vi-VN"/>
        </w:rPr>
        <w:t>%, 6,</w:t>
      </w:r>
      <w:r w:rsidRPr="00335B0A">
        <w:rPr>
          <w:spacing w:val="-4"/>
          <w:szCs w:val="28"/>
        </w:rPr>
        <w:t>3</w:t>
      </w:r>
      <w:r w:rsidRPr="00335B0A">
        <w:rPr>
          <w:spacing w:val="-4"/>
          <w:szCs w:val="28"/>
          <w:lang w:val="vi-VN"/>
        </w:rPr>
        <w:t>%, 2,</w:t>
      </w:r>
      <w:r w:rsidRPr="00335B0A">
        <w:rPr>
          <w:spacing w:val="-4"/>
          <w:szCs w:val="28"/>
        </w:rPr>
        <w:t>6</w:t>
      </w:r>
      <w:r w:rsidRPr="00335B0A">
        <w:rPr>
          <w:spacing w:val="-4"/>
          <w:szCs w:val="28"/>
          <w:lang w:val="vi-VN"/>
        </w:rPr>
        <w:t>%, 1,</w:t>
      </w:r>
      <w:r w:rsidRPr="00335B0A">
        <w:rPr>
          <w:spacing w:val="-4"/>
          <w:szCs w:val="28"/>
        </w:rPr>
        <w:t>5</w:t>
      </w:r>
      <w:r w:rsidRPr="00335B0A">
        <w:rPr>
          <w:spacing w:val="-4"/>
          <w:szCs w:val="28"/>
          <w:lang w:val="vi-VN"/>
        </w:rPr>
        <w:t xml:space="preserve">%. Tăng trưởng Quý </w:t>
      </w:r>
      <w:r w:rsidRPr="00335B0A">
        <w:rPr>
          <w:spacing w:val="-4"/>
          <w:szCs w:val="28"/>
        </w:rPr>
        <w:t>I</w:t>
      </w:r>
      <w:r w:rsidRPr="00335B0A">
        <w:rPr>
          <w:spacing w:val="-4"/>
          <w:szCs w:val="28"/>
          <w:lang w:val="vi-VN"/>
        </w:rPr>
        <w:t>I/2023 so với quý trước của các quốc gia trên lần lượt là 0,</w:t>
      </w:r>
      <w:r w:rsidRPr="00335B0A">
        <w:rPr>
          <w:spacing w:val="-4"/>
          <w:szCs w:val="28"/>
        </w:rPr>
        <w:t>7</w:t>
      </w:r>
      <w:r w:rsidRPr="00335B0A">
        <w:rPr>
          <w:spacing w:val="-4"/>
          <w:szCs w:val="28"/>
          <w:lang w:val="vi-VN"/>
        </w:rPr>
        <w:t xml:space="preserve">%, </w:t>
      </w:r>
      <w:r w:rsidRPr="00335B0A">
        <w:rPr>
          <w:spacing w:val="-4"/>
          <w:szCs w:val="28"/>
        </w:rPr>
        <w:t>2</w:t>
      </w:r>
      <w:r w:rsidRPr="00335B0A">
        <w:rPr>
          <w:spacing w:val="-4"/>
          <w:szCs w:val="28"/>
          <w:lang w:val="vi-VN"/>
        </w:rPr>
        <w:t xml:space="preserve">,0%, </w:t>
      </w:r>
      <w:r w:rsidRPr="00335B0A">
        <w:rPr>
          <w:spacing w:val="-4"/>
          <w:szCs w:val="28"/>
        </w:rPr>
        <w:t>0,5</w:t>
      </w:r>
      <w:r w:rsidRPr="00335B0A">
        <w:rPr>
          <w:spacing w:val="-4"/>
          <w:szCs w:val="28"/>
          <w:lang w:val="vi-VN"/>
        </w:rPr>
        <w:t>%, 1,</w:t>
      </w:r>
      <w:r w:rsidRPr="00335B0A">
        <w:rPr>
          <w:spacing w:val="-4"/>
          <w:szCs w:val="28"/>
        </w:rPr>
        <w:t>4</w:t>
      </w:r>
      <w:r w:rsidRPr="00335B0A">
        <w:rPr>
          <w:spacing w:val="-4"/>
          <w:szCs w:val="28"/>
          <w:lang w:val="vi-VN"/>
        </w:rPr>
        <w:t>% và 0,</w:t>
      </w:r>
      <w:r w:rsidRPr="00335B0A">
        <w:rPr>
          <w:spacing w:val="-4"/>
          <w:szCs w:val="28"/>
        </w:rPr>
        <w:t>2</w:t>
      </w:r>
      <w:r w:rsidRPr="00335B0A">
        <w:rPr>
          <w:spacing w:val="-4"/>
          <w:szCs w:val="28"/>
          <w:lang w:val="vi-VN"/>
        </w:rPr>
        <w:t>%.</w:t>
      </w:r>
    </w:p>
    <w:p w14:paraId="1C71241F" w14:textId="77777777" w:rsidR="006A76A8" w:rsidRPr="00A42EBD" w:rsidRDefault="006A76A8" w:rsidP="00A077B4">
      <w:pPr>
        <w:spacing w:before="180" w:after="120" w:line="240" w:lineRule="auto"/>
        <w:ind w:firstLine="720"/>
        <w:jc w:val="both"/>
        <w:rPr>
          <w:b/>
          <w:color w:val="000000" w:themeColor="text1"/>
          <w:szCs w:val="28"/>
          <w:lang w:val="vi-VN"/>
        </w:rPr>
      </w:pPr>
      <w:r w:rsidRPr="00A42EBD">
        <w:rPr>
          <w:b/>
          <w:color w:val="000000" w:themeColor="text1"/>
          <w:szCs w:val="28"/>
          <w:lang w:val="vi-VN"/>
        </w:rPr>
        <w:t>6. Việt Nam</w:t>
      </w:r>
    </w:p>
    <w:p w14:paraId="3B837A9A" w14:textId="77777777" w:rsidR="006A76A8" w:rsidRPr="00A42EBD" w:rsidRDefault="006A76A8" w:rsidP="00A077B4">
      <w:pPr>
        <w:spacing w:before="180" w:after="120" w:line="240" w:lineRule="auto"/>
        <w:ind w:firstLine="720"/>
        <w:jc w:val="both"/>
        <w:rPr>
          <w:b/>
          <w:i/>
          <w:color w:val="000000" w:themeColor="text1"/>
          <w:szCs w:val="28"/>
          <w:lang w:val="vi-VN"/>
        </w:rPr>
      </w:pPr>
      <w:r w:rsidRPr="00A42EBD">
        <w:rPr>
          <w:b/>
          <w:i/>
          <w:color w:val="000000" w:themeColor="text1"/>
          <w:szCs w:val="28"/>
          <w:lang w:val="vi-VN"/>
        </w:rPr>
        <w:t xml:space="preserve">Dự báo của Ngân hàng Thế giới </w:t>
      </w:r>
    </w:p>
    <w:p w14:paraId="3E032868" w14:textId="77777777" w:rsidR="006A76A8" w:rsidRDefault="00335B0A" w:rsidP="00A077B4">
      <w:pPr>
        <w:spacing w:before="180" w:after="120" w:line="240" w:lineRule="auto"/>
        <w:ind w:firstLine="720"/>
        <w:jc w:val="both"/>
        <w:rPr>
          <w:color w:val="000000" w:themeColor="text1"/>
          <w:spacing w:val="-2"/>
          <w:lang w:val="vi-VN"/>
        </w:rPr>
      </w:pPr>
      <w:r>
        <w:rPr>
          <w:color w:val="000000" w:themeColor="text1"/>
          <w:spacing w:val="-2"/>
        </w:rPr>
        <w:t xml:space="preserve">Theo báo cáo triển vọng kinh tế toàn cầu tháng 6/2023, WB dự báo </w:t>
      </w:r>
      <w:r w:rsidRPr="00B43136">
        <w:rPr>
          <w:color w:val="000000" w:themeColor="text1"/>
          <w:spacing w:val="-2"/>
          <w:lang w:val="vi-VN"/>
        </w:rPr>
        <w:t xml:space="preserve">GDP </w:t>
      </w:r>
      <w:r>
        <w:rPr>
          <w:color w:val="000000" w:themeColor="text1"/>
          <w:spacing w:val="-2"/>
        </w:rPr>
        <w:t xml:space="preserve">của </w:t>
      </w:r>
      <w:r w:rsidRPr="00B43136">
        <w:rPr>
          <w:color w:val="000000" w:themeColor="text1"/>
          <w:spacing w:val="-2"/>
          <w:lang w:val="vi-VN"/>
        </w:rPr>
        <w:t>Việt Nam tăng 6,</w:t>
      </w:r>
      <w:r>
        <w:rPr>
          <w:color w:val="000000" w:themeColor="text1"/>
          <w:spacing w:val="-2"/>
        </w:rPr>
        <w:t>0</w:t>
      </w:r>
      <w:r w:rsidRPr="00B43136">
        <w:rPr>
          <w:color w:val="000000" w:themeColor="text1"/>
          <w:spacing w:val="-2"/>
          <w:lang w:val="vi-VN"/>
        </w:rPr>
        <w:t>% trong năm 2023</w:t>
      </w:r>
      <w:r w:rsidR="00B43136" w:rsidRPr="00B43136">
        <w:rPr>
          <w:color w:val="000000" w:themeColor="text1"/>
          <w:spacing w:val="-2"/>
          <w:lang w:val="vi-VN"/>
        </w:rPr>
        <w:t>. Mặc dù lĩnh vực du</w:t>
      </w:r>
      <w:r w:rsidR="00B43136">
        <w:rPr>
          <w:color w:val="000000" w:themeColor="text1"/>
          <w:spacing w:val="-2"/>
        </w:rPr>
        <w:t xml:space="preserve"> </w:t>
      </w:r>
      <w:r w:rsidR="00B43136" w:rsidRPr="00B43136">
        <w:rPr>
          <w:color w:val="000000" w:themeColor="text1"/>
          <w:spacing w:val="-2"/>
          <w:lang w:val="vi-VN"/>
        </w:rPr>
        <w:t>lịch tiếp tục phục hồi (nhờ du khách Trung Quốc dần quay lại với đóng góp khoảng 30% tổng</w:t>
      </w:r>
      <w:r w:rsidR="00B43136">
        <w:rPr>
          <w:color w:val="000000" w:themeColor="text1"/>
          <w:spacing w:val="-2"/>
        </w:rPr>
        <w:t xml:space="preserve"> </w:t>
      </w:r>
      <w:r w:rsidR="00B43136" w:rsidRPr="00B43136">
        <w:rPr>
          <w:color w:val="000000" w:themeColor="text1"/>
          <w:spacing w:val="-2"/>
          <w:lang w:val="vi-VN"/>
        </w:rPr>
        <w:t>lượt du khách đến Việt Nam trước đại dịch), tăng trưởng của khu vực dịch vụ sẽ chững lại do</w:t>
      </w:r>
      <w:r w:rsidR="00B43136">
        <w:rPr>
          <w:color w:val="000000" w:themeColor="text1"/>
          <w:spacing w:val="-2"/>
        </w:rPr>
        <w:t xml:space="preserve"> </w:t>
      </w:r>
      <w:r w:rsidR="00B43136" w:rsidRPr="00B43136">
        <w:rPr>
          <w:color w:val="000000" w:themeColor="text1"/>
          <w:spacing w:val="-2"/>
          <w:lang w:val="vi-VN"/>
        </w:rPr>
        <w:t xml:space="preserve">hiệu ứng xuất phát điểm thấp sau </w:t>
      </w:r>
      <w:r w:rsidR="009F63B2">
        <w:rPr>
          <w:color w:val="000000" w:themeColor="text1"/>
          <w:spacing w:val="-2"/>
        </w:rPr>
        <w:t xml:space="preserve">dịch </w:t>
      </w:r>
      <w:r>
        <w:rPr>
          <w:color w:val="000000" w:themeColor="text1"/>
          <w:spacing w:val="-2"/>
        </w:rPr>
        <w:t>Covid</w:t>
      </w:r>
      <w:r w:rsidR="00B43136" w:rsidRPr="00B43136">
        <w:rPr>
          <w:color w:val="000000" w:themeColor="text1"/>
          <w:spacing w:val="-2"/>
          <w:lang w:val="vi-VN"/>
        </w:rPr>
        <w:t>-19 yếu đi. Nhu cầu trong nước dự kiến bị ảnh hưởng</w:t>
      </w:r>
      <w:r w:rsidR="00B43136">
        <w:rPr>
          <w:color w:val="000000" w:themeColor="text1"/>
          <w:spacing w:val="-2"/>
        </w:rPr>
        <w:t xml:space="preserve"> </w:t>
      </w:r>
      <w:r w:rsidR="00B43136" w:rsidRPr="00B43136">
        <w:rPr>
          <w:color w:val="000000" w:themeColor="text1"/>
          <w:spacing w:val="-2"/>
          <w:lang w:val="vi-VN"/>
        </w:rPr>
        <w:t>do lạm phát dự kiến cao hơn (bình quân 4,5%) trong năm 2023. Trong nửa đầu năm 2023, tốc</w:t>
      </w:r>
      <w:r w:rsidR="00B43136">
        <w:rPr>
          <w:color w:val="000000" w:themeColor="text1"/>
          <w:spacing w:val="-2"/>
        </w:rPr>
        <w:t xml:space="preserve"> </w:t>
      </w:r>
      <w:r w:rsidR="00B43136" w:rsidRPr="00B43136">
        <w:rPr>
          <w:color w:val="000000" w:themeColor="text1"/>
          <w:spacing w:val="-2"/>
          <w:lang w:val="vi-VN"/>
        </w:rPr>
        <w:t xml:space="preserve">độ tăng xuất khẩu các mặt hàng chế biến </w:t>
      </w:r>
      <w:r w:rsidR="0076446C" w:rsidRPr="00B43136">
        <w:rPr>
          <w:color w:val="000000" w:themeColor="text1"/>
          <w:spacing w:val="-2"/>
          <w:lang w:val="vi-VN"/>
        </w:rPr>
        <w:t xml:space="preserve">chế tạo </w:t>
      </w:r>
      <w:r w:rsidR="00B43136" w:rsidRPr="00B43136">
        <w:rPr>
          <w:color w:val="000000" w:themeColor="text1"/>
          <w:spacing w:val="-2"/>
          <w:lang w:val="vi-VN"/>
        </w:rPr>
        <w:t>chậm lại do nhu cầu tại Hoa Kỳ và khu vực</w:t>
      </w:r>
      <w:r w:rsidR="00B43136">
        <w:rPr>
          <w:color w:val="000000" w:themeColor="text1"/>
          <w:spacing w:val="-2"/>
        </w:rPr>
        <w:t xml:space="preserve"> </w:t>
      </w:r>
      <w:r w:rsidR="00B43136" w:rsidRPr="00B43136">
        <w:rPr>
          <w:color w:val="000000" w:themeColor="text1"/>
          <w:spacing w:val="-2"/>
          <w:lang w:val="vi-VN"/>
        </w:rPr>
        <w:t xml:space="preserve">đồng Euro yếu đi, trong khi lộ trình phục hồi kinh tế của Trung Quốc còn nhiều bất định. </w:t>
      </w:r>
    </w:p>
    <w:p w14:paraId="1A31FC0B" w14:textId="77777777" w:rsidR="00E60384" w:rsidRPr="00E60384" w:rsidRDefault="00E60384" w:rsidP="00A077B4">
      <w:pPr>
        <w:spacing w:before="180" w:after="120" w:line="240" w:lineRule="auto"/>
        <w:ind w:firstLine="720"/>
        <w:jc w:val="both"/>
        <w:rPr>
          <w:b/>
          <w:i/>
          <w:color w:val="000000" w:themeColor="text1"/>
          <w:spacing w:val="-2"/>
        </w:rPr>
      </w:pPr>
      <w:r w:rsidRPr="00E60384">
        <w:rPr>
          <w:b/>
          <w:i/>
          <w:color w:val="000000" w:themeColor="text1"/>
          <w:spacing w:val="-2"/>
        </w:rPr>
        <w:t xml:space="preserve">Dự báo của Ngân hàng Phát triển </w:t>
      </w:r>
      <w:r w:rsidR="00762F82">
        <w:rPr>
          <w:b/>
          <w:i/>
          <w:color w:val="000000" w:themeColor="text1"/>
          <w:spacing w:val="-2"/>
        </w:rPr>
        <w:t>c</w:t>
      </w:r>
      <w:r w:rsidRPr="00E60384">
        <w:rPr>
          <w:b/>
          <w:i/>
          <w:color w:val="000000" w:themeColor="text1"/>
          <w:spacing w:val="-2"/>
        </w:rPr>
        <w:t xml:space="preserve">hâu Á </w:t>
      </w:r>
    </w:p>
    <w:p w14:paraId="0A9EF8CF" w14:textId="77777777" w:rsidR="00E60384" w:rsidRDefault="00EE34B9" w:rsidP="00A077B4">
      <w:pPr>
        <w:spacing w:before="180" w:after="120" w:line="240" w:lineRule="auto"/>
        <w:ind w:firstLine="720"/>
        <w:jc w:val="both"/>
        <w:rPr>
          <w:color w:val="000000" w:themeColor="text1"/>
          <w:spacing w:val="-2"/>
        </w:rPr>
      </w:pPr>
      <w:r w:rsidRPr="00EE34B9">
        <w:rPr>
          <w:color w:val="000000" w:themeColor="text1"/>
          <w:spacing w:val="-2"/>
        </w:rPr>
        <w:t>Tăng trưởng</w:t>
      </w:r>
      <w:r>
        <w:rPr>
          <w:color w:val="000000" w:themeColor="text1"/>
          <w:spacing w:val="-2"/>
        </w:rPr>
        <w:t xml:space="preserve"> của Việt Nam</w:t>
      </w:r>
      <w:r w:rsidRPr="00EE34B9">
        <w:rPr>
          <w:color w:val="000000" w:themeColor="text1"/>
          <w:spacing w:val="-2"/>
        </w:rPr>
        <w:t xml:space="preserve"> bị hạn chế </w:t>
      </w:r>
      <w:r>
        <w:rPr>
          <w:color w:val="000000" w:themeColor="text1"/>
          <w:spacing w:val="-2"/>
        </w:rPr>
        <w:t xml:space="preserve">phần nào </w:t>
      </w:r>
      <w:r w:rsidRPr="00EE34B9">
        <w:rPr>
          <w:color w:val="000000" w:themeColor="text1"/>
          <w:spacing w:val="-2"/>
        </w:rPr>
        <w:t>do suy thoái toàn cầu,</w:t>
      </w:r>
      <w:r w:rsidR="009F63B2">
        <w:rPr>
          <w:color w:val="000000" w:themeColor="text1"/>
          <w:spacing w:val="-2"/>
        </w:rPr>
        <w:t xml:space="preserve"> chính sách tiền tệ</w:t>
      </w:r>
      <w:r w:rsidRPr="00EE34B9">
        <w:rPr>
          <w:color w:val="000000" w:themeColor="text1"/>
          <w:spacing w:val="-2"/>
        </w:rPr>
        <w:t xml:space="preserve"> tiếp tục thắt chặt và tác động lan tỏa từ cuộc </w:t>
      </w:r>
      <w:r>
        <w:rPr>
          <w:color w:val="000000" w:themeColor="text1"/>
          <w:spacing w:val="-2"/>
        </w:rPr>
        <w:t>xung đột giữa Nga và</w:t>
      </w:r>
      <w:r w:rsidRPr="00EE34B9">
        <w:rPr>
          <w:color w:val="000000" w:themeColor="text1"/>
          <w:spacing w:val="-2"/>
        </w:rPr>
        <w:t xml:space="preserve"> </w:t>
      </w:r>
      <w:r w:rsidR="00144492">
        <w:rPr>
          <w:color w:val="000000" w:themeColor="text1"/>
          <w:spacing w:val="-2"/>
        </w:rPr>
        <w:t>U-crai-na</w:t>
      </w:r>
      <w:r w:rsidRPr="00EE34B9">
        <w:rPr>
          <w:color w:val="000000" w:themeColor="text1"/>
          <w:spacing w:val="-2"/>
        </w:rPr>
        <w:t xml:space="preserve">. Tuy nhiên, việc Trung Quốc mở cửa trở lại </w:t>
      </w:r>
      <w:r>
        <w:rPr>
          <w:color w:val="000000" w:themeColor="text1"/>
          <w:spacing w:val="-2"/>
        </w:rPr>
        <w:t xml:space="preserve">giúp giảm thiểu </w:t>
      </w:r>
      <w:r w:rsidRPr="00EE34B9">
        <w:rPr>
          <w:color w:val="000000" w:themeColor="text1"/>
          <w:spacing w:val="-2"/>
        </w:rPr>
        <w:t>những trở ngại này và nền kinh tế được dự báo sẽ tăng trưởng 6,5% vào năm 2023.</w:t>
      </w:r>
    </w:p>
    <w:p w14:paraId="0FBBC344" w14:textId="77777777" w:rsidR="00EE34B9" w:rsidRDefault="00EE34B9" w:rsidP="00A077B4">
      <w:pPr>
        <w:spacing w:before="180" w:after="120" w:line="240" w:lineRule="auto"/>
        <w:ind w:firstLine="720"/>
        <w:jc w:val="both"/>
        <w:rPr>
          <w:color w:val="000000" w:themeColor="text1"/>
          <w:spacing w:val="-2"/>
        </w:rPr>
      </w:pPr>
      <w:r w:rsidRPr="00EE34B9">
        <w:rPr>
          <w:color w:val="000000" w:themeColor="text1"/>
          <w:spacing w:val="-2"/>
        </w:rPr>
        <w:t>Đầu tư công sẽ là động lực chính để phục hồi và tăng trưởng kinh tế vào năm 2023. Một lượng đáng kể đầu tư công dự kiến sẽ được giải ngân vào năm 2023. Chính phủ cam kết giải ngân 30 tỷ USD trong năm</w:t>
      </w:r>
      <w:r>
        <w:rPr>
          <w:color w:val="000000" w:themeColor="text1"/>
          <w:spacing w:val="-2"/>
        </w:rPr>
        <w:t xml:space="preserve"> 2023</w:t>
      </w:r>
      <w:r w:rsidRPr="00EE34B9">
        <w:rPr>
          <w:color w:val="000000" w:themeColor="text1"/>
          <w:spacing w:val="-2"/>
        </w:rPr>
        <w:t xml:space="preserve">, trong đó 90% đã được phân bổ để giải ngân </w:t>
      </w:r>
      <w:r w:rsidR="00144492">
        <w:rPr>
          <w:color w:val="000000" w:themeColor="text1"/>
          <w:spacing w:val="-2"/>
        </w:rPr>
        <w:t xml:space="preserve">cho </w:t>
      </w:r>
      <w:r w:rsidRPr="00EE34B9">
        <w:rPr>
          <w:color w:val="000000" w:themeColor="text1"/>
          <w:spacing w:val="-2"/>
        </w:rPr>
        <w:t>các bộ và tỉnh kể từ</w:t>
      </w:r>
      <w:r>
        <w:rPr>
          <w:color w:val="000000" w:themeColor="text1"/>
          <w:spacing w:val="-2"/>
        </w:rPr>
        <w:t xml:space="preserve"> tháng 01/</w:t>
      </w:r>
      <w:r w:rsidRPr="00EE34B9">
        <w:rPr>
          <w:color w:val="000000" w:themeColor="text1"/>
          <w:spacing w:val="-2"/>
        </w:rPr>
        <w:t xml:space="preserve">2023. Tuy nhiên, đầu tư nước ngoài sẽ vẫn bị cản trở bởi suy thoái kinh tế toàn cầu. Vốn FDI đăng ký mới </w:t>
      </w:r>
      <w:r w:rsidRPr="00335B0A">
        <w:rPr>
          <w:color w:val="000000" w:themeColor="text1"/>
          <w:spacing w:val="-2"/>
        </w:rPr>
        <w:t xml:space="preserve">và giải ngân </w:t>
      </w:r>
      <w:r w:rsidR="00335B0A" w:rsidRPr="00335B0A">
        <w:rPr>
          <w:color w:val="000000" w:themeColor="text1"/>
          <w:spacing w:val="-2"/>
        </w:rPr>
        <w:t xml:space="preserve">trong hai tháng đầu năm </w:t>
      </w:r>
      <w:r w:rsidRPr="00335B0A">
        <w:rPr>
          <w:color w:val="000000" w:themeColor="text1"/>
          <w:spacing w:val="-2"/>
        </w:rPr>
        <w:t>giảm</w:t>
      </w:r>
      <w:r w:rsidR="00335B0A" w:rsidRPr="00335B0A">
        <w:rPr>
          <w:color w:val="000000" w:themeColor="text1"/>
          <w:spacing w:val="-2"/>
        </w:rPr>
        <w:t xml:space="preserve"> lần lượt là</w:t>
      </w:r>
      <w:r w:rsidRPr="00335B0A">
        <w:rPr>
          <w:color w:val="000000" w:themeColor="text1"/>
          <w:spacing w:val="-2"/>
        </w:rPr>
        <w:t xml:space="preserve"> 38% </w:t>
      </w:r>
      <w:r w:rsidR="00335B0A" w:rsidRPr="00335B0A">
        <w:rPr>
          <w:color w:val="000000" w:themeColor="text1"/>
          <w:spacing w:val="-2"/>
        </w:rPr>
        <w:t>và</w:t>
      </w:r>
      <w:r w:rsidRPr="00335B0A">
        <w:rPr>
          <w:color w:val="000000" w:themeColor="text1"/>
          <w:spacing w:val="-2"/>
        </w:rPr>
        <w:t xml:space="preserve"> 4,9% so với cùng kỳ </w:t>
      </w:r>
      <w:r w:rsidR="00335B0A" w:rsidRPr="00335B0A">
        <w:rPr>
          <w:color w:val="000000" w:themeColor="text1"/>
          <w:spacing w:val="-2"/>
        </w:rPr>
        <w:t>năm trước</w:t>
      </w:r>
      <w:r w:rsidRPr="00335B0A">
        <w:rPr>
          <w:color w:val="000000" w:themeColor="text1"/>
          <w:spacing w:val="-2"/>
        </w:rPr>
        <w:t>. Thâm hụt ngân sách năm 2023 có thể vượt mục tiêu 4,4% GDP. Trong tương lai,</w:t>
      </w:r>
      <w:r w:rsidRPr="00EE34B9">
        <w:rPr>
          <w:color w:val="000000" w:themeColor="text1"/>
          <w:spacing w:val="-2"/>
        </w:rPr>
        <w:t xml:space="preserve"> Việt Nam cần tiếp tục cải cách để tài chính bền vững hơn, giảm đáng kể sự phụ thuộc vào các nguồn thu không bền vững như đất đai và dầu mỏ</w:t>
      </w:r>
      <w:r>
        <w:rPr>
          <w:color w:val="000000" w:themeColor="text1"/>
          <w:spacing w:val="-2"/>
        </w:rPr>
        <w:t>.</w:t>
      </w:r>
    </w:p>
    <w:p w14:paraId="313EC5AC" w14:textId="77777777" w:rsidR="00EE34B9" w:rsidRDefault="00EE34B9" w:rsidP="00A077B4">
      <w:pPr>
        <w:spacing w:before="180" w:after="120" w:line="240" w:lineRule="auto"/>
        <w:ind w:firstLine="720"/>
        <w:jc w:val="both"/>
        <w:rPr>
          <w:color w:val="000000" w:themeColor="text1"/>
          <w:spacing w:val="-2"/>
        </w:rPr>
      </w:pPr>
      <w:r w:rsidRPr="00EE34B9">
        <w:rPr>
          <w:color w:val="000000" w:themeColor="text1"/>
          <w:spacing w:val="-2"/>
        </w:rPr>
        <w:t xml:space="preserve">Về phía cầu, tiêu dùng trong nước sẽ tiếp tục phục hồi vào năm 2023. Du lịch hồi sinh, các chương trình kích cầu và đầu tư công mới được khởi </w:t>
      </w:r>
      <w:r>
        <w:rPr>
          <w:color w:val="000000" w:themeColor="text1"/>
          <w:spacing w:val="-2"/>
        </w:rPr>
        <w:t xml:space="preserve">công vào tháng </w:t>
      </w:r>
      <w:r w:rsidRPr="00335B0A">
        <w:rPr>
          <w:color w:val="000000" w:themeColor="text1"/>
          <w:spacing w:val="-2"/>
        </w:rPr>
        <w:t>01/2022</w:t>
      </w:r>
      <w:r w:rsidRPr="00EE34B9">
        <w:rPr>
          <w:color w:val="000000" w:themeColor="text1"/>
          <w:spacing w:val="-2"/>
        </w:rPr>
        <w:t xml:space="preserve"> và tăng lương có hiệu lực từ tháng 7</w:t>
      </w:r>
      <w:r w:rsidR="009F63B2">
        <w:rPr>
          <w:color w:val="000000" w:themeColor="text1"/>
          <w:spacing w:val="-2"/>
        </w:rPr>
        <w:t>/</w:t>
      </w:r>
      <w:r w:rsidRPr="00EE34B9">
        <w:rPr>
          <w:color w:val="000000" w:themeColor="text1"/>
          <w:spacing w:val="-2"/>
        </w:rPr>
        <w:t xml:space="preserve"> 2023 dự kiến sẽ giúp tiêu dùng trong nước tiếp tục tăng</w:t>
      </w:r>
      <w:r>
        <w:rPr>
          <w:color w:val="000000" w:themeColor="text1"/>
          <w:spacing w:val="-2"/>
        </w:rPr>
        <w:t>.</w:t>
      </w:r>
    </w:p>
    <w:p w14:paraId="50321347" w14:textId="77777777" w:rsidR="00EE34B9" w:rsidRDefault="00EE34B9" w:rsidP="00A077B4">
      <w:pPr>
        <w:spacing w:before="180" w:after="120" w:line="240" w:lineRule="auto"/>
        <w:ind w:firstLine="720"/>
        <w:jc w:val="both"/>
        <w:rPr>
          <w:color w:val="000000" w:themeColor="text1"/>
          <w:spacing w:val="-2"/>
        </w:rPr>
      </w:pPr>
      <w:r w:rsidRPr="00EE34B9">
        <w:rPr>
          <w:color w:val="000000" w:themeColor="text1"/>
          <w:spacing w:val="-2"/>
        </w:rPr>
        <w:t>Chính sách cắt giảm lãi suất khiến Việt Nam trở thành nền kinh tế đầu tiên ở Đông Nam Á nới lỏng chính sách tiền tệ. Ngân hàng Nhà nước Việ</w:t>
      </w:r>
      <w:r>
        <w:rPr>
          <w:color w:val="000000" w:themeColor="text1"/>
          <w:spacing w:val="-2"/>
        </w:rPr>
        <w:t xml:space="preserve">t Nam </w:t>
      </w:r>
      <w:r w:rsidRPr="00EE34B9">
        <w:rPr>
          <w:color w:val="000000" w:themeColor="text1"/>
          <w:spacing w:val="-2"/>
        </w:rPr>
        <w:t>đã hành động vì thị trường vốn căng thẳng đã gây ra khủng hoảng tín dụng cho bất động sản và đánh vào niềm tin của nhà đầu tư.</w:t>
      </w:r>
    </w:p>
    <w:p w14:paraId="2C1A62AF" w14:textId="77777777" w:rsidR="00335B0A" w:rsidRPr="00E60384" w:rsidRDefault="00335B0A" w:rsidP="00A077B4">
      <w:pPr>
        <w:spacing w:before="180" w:after="120" w:line="240" w:lineRule="auto"/>
        <w:ind w:firstLine="720"/>
        <w:jc w:val="both"/>
        <w:rPr>
          <w:color w:val="000000" w:themeColor="text1"/>
          <w:spacing w:val="-2"/>
        </w:rPr>
      </w:pPr>
      <w:r w:rsidRPr="00335B0A">
        <w:rPr>
          <w:color w:val="000000" w:themeColor="text1"/>
          <w:spacing w:val="-2"/>
        </w:rPr>
        <w:t xml:space="preserve">Theo Trading Economics, dự báo tăng trưởng Quý II/2023 của Việt </w:t>
      </w:r>
      <w:r w:rsidR="00AA5D3A">
        <w:rPr>
          <w:color w:val="000000" w:themeColor="text1"/>
          <w:spacing w:val="-2"/>
        </w:rPr>
        <w:t>N</w:t>
      </w:r>
      <w:r w:rsidRPr="00335B0A">
        <w:rPr>
          <w:color w:val="000000" w:themeColor="text1"/>
          <w:spacing w:val="-2"/>
        </w:rPr>
        <w:t xml:space="preserve">am so với cùng kỳ năm trước </w:t>
      </w:r>
      <w:r w:rsidR="00F66705">
        <w:rPr>
          <w:color w:val="000000" w:themeColor="text1"/>
          <w:spacing w:val="-2"/>
        </w:rPr>
        <w:t>đạt</w:t>
      </w:r>
      <w:r w:rsidR="00F66705" w:rsidRPr="00335B0A">
        <w:rPr>
          <w:color w:val="000000" w:themeColor="text1"/>
          <w:spacing w:val="-2"/>
        </w:rPr>
        <w:t xml:space="preserve"> </w:t>
      </w:r>
      <w:r w:rsidRPr="00335B0A">
        <w:rPr>
          <w:color w:val="000000" w:themeColor="text1"/>
          <w:spacing w:val="-2"/>
        </w:rPr>
        <w:t>3,5%</w:t>
      </w:r>
      <w:r w:rsidR="005C3B25">
        <w:rPr>
          <w:color w:val="000000" w:themeColor="text1"/>
          <w:spacing w:val="-2"/>
        </w:rPr>
        <w:t>.</w:t>
      </w:r>
    </w:p>
    <w:p w14:paraId="208F2346" w14:textId="77777777" w:rsidR="00A077B4" w:rsidRDefault="00A077B4" w:rsidP="002E581A">
      <w:pPr>
        <w:spacing w:before="120" w:after="120" w:line="240" w:lineRule="auto"/>
        <w:jc w:val="center"/>
        <w:rPr>
          <w:b/>
          <w:color w:val="000000" w:themeColor="text1"/>
          <w:lang w:val="vi-VN"/>
        </w:rPr>
      </w:pPr>
    </w:p>
    <w:p w14:paraId="0B48AFE4" w14:textId="68A1C1A7" w:rsidR="00060AE9" w:rsidRDefault="006A76A8" w:rsidP="002E581A">
      <w:pPr>
        <w:spacing w:before="120" w:after="120" w:line="240" w:lineRule="auto"/>
        <w:jc w:val="center"/>
        <w:rPr>
          <w:b/>
          <w:color w:val="000000" w:themeColor="text1"/>
          <w:lang w:val="vi-VN"/>
        </w:rPr>
      </w:pPr>
      <w:r w:rsidRPr="00A42EBD">
        <w:rPr>
          <w:b/>
          <w:color w:val="000000" w:themeColor="text1"/>
          <w:lang w:val="vi-VN"/>
        </w:rPr>
        <w:lastRenderedPageBreak/>
        <w:t>Hình 7. Dự báo tăng trưởng Việt Nam của một số tổ chức quốc tế</w:t>
      </w:r>
    </w:p>
    <w:p w14:paraId="7E9068E9" w14:textId="77777777" w:rsidR="00335B0A" w:rsidRDefault="00335B0A" w:rsidP="00A077B4">
      <w:pPr>
        <w:spacing w:before="120" w:after="120" w:line="240" w:lineRule="auto"/>
        <w:jc w:val="center"/>
        <w:rPr>
          <w:b/>
          <w:color w:val="000000" w:themeColor="text1"/>
          <w:lang w:val="vi-VN"/>
        </w:rPr>
      </w:pPr>
      <w:bookmarkStart w:id="0" w:name="_GoBack"/>
      <w:r>
        <w:rPr>
          <w:noProof/>
        </w:rPr>
        <w:drawing>
          <wp:inline distT="0" distB="0" distL="0" distR="0" wp14:anchorId="0C685553" wp14:editId="44D2503D">
            <wp:extent cx="3304540" cy="179641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0"/>
    </w:p>
    <w:p w14:paraId="05159D7F" w14:textId="5ACEFF16" w:rsidR="00335B0A" w:rsidRPr="00360D47" w:rsidRDefault="00335B0A" w:rsidP="00060AE9">
      <w:pPr>
        <w:spacing w:before="120" w:after="120" w:line="240" w:lineRule="auto"/>
        <w:ind w:firstLine="720"/>
        <w:rPr>
          <w:i/>
          <w:sz w:val="24"/>
          <w:szCs w:val="28"/>
        </w:rPr>
      </w:pPr>
      <w:r w:rsidRPr="00A42EBD">
        <w:rPr>
          <w:i/>
          <w:sz w:val="24"/>
          <w:szCs w:val="28"/>
          <w:lang w:val="vi-VN"/>
        </w:rPr>
        <w:t xml:space="preserve">Nguồn: WB, </w:t>
      </w:r>
      <w:r>
        <w:rPr>
          <w:i/>
          <w:sz w:val="24"/>
          <w:szCs w:val="28"/>
        </w:rPr>
        <w:t>ADB</w:t>
      </w:r>
    </w:p>
    <w:p w14:paraId="2947C583" w14:textId="77777777" w:rsidR="00060AE9" w:rsidRDefault="00060AE9">
      <w:pPr>
        <w:spacing w:after="0" w:line="240" w:lineRule="auto"/>
        <w:rPr>
          <w:b/>
          <w:color w:val="000000" w:themeColor="text1"/>
          <w:lang w:val="vi-VN"/>
        </w:rPr>
      </w:pPr>
      <w:r>
        <w:rPr>
          <w:b/>
          <w:color w:val="000000" w:themeColor="text1"/>
          <w:lang w:val="vi-VN"/>
        </w:rPr>
        <w:br w:type="page"/>
      </w:r>
    </w:p>
    <w:p w14:paraId="41710B28" w14:textId="77777777" w:rsidR="006A76A8" w:rsidRPr="00A42EBD" w:rsidRDefault="006A76A8" w:rsidP="00A75B03">
      <w:pPr>
        <w:spacing w:before="120" w:after="120" w:line="240" w:lineRule="auto"/>
        <w:jc w:val="center"/>
        <w:rPr>
          <w:b/>
          <w:color w:val="000000" w:themeColor="text1"/>
          <w:lang w:val="vi-VN"/>
        </w:rPr>
      </w:pPr>
      <w:r w:rsidRPr="00A42EBD">
        <w:rPr>
          <w:b/>
          <w:color w:val="000000" w:themeColor="text1"/>
          <w:lang w:val="vi-VN"/>
        </w:rPr>
        <w:lastRenderedPageBreak/>
        <w:t xml:space="preserve">Biểu 1. Tốc độ tăng trưởng GDP Quý </w:t>
      </w:r>
      <w:r w:rsidR="000E179C">
        <w:rPr>
          <w:b/>
          <w:color w:val="000000" w:themeColor="text1"/>
        </w:rPr>
        <w:t>I</w:t>
      </w:r>
      <w:r w:rsidR="005F2C07" w:rsidRPr="00A42EBD">
        <w:rPr>
          <w:b/>
          <w:color w:val="000000" w:themeColor="text1"/>
          <w:lang w:val="vi-VN"/>
        </w:rPr>
        <w:t xml:space="preserve">I </w:t>
      </w:r>
      <w:r w:rsidRPr="00A42EBD">
        <w:rPr>
          <w:b/>
          <w:color w:val="000000" w:themeColor="text1"/>
          <w:lang w:val="vi-VN"/>
        </w:rPr>
        <w:t>năm 202</w:t>
      </w:r>
      <w:r w:rsidR="0082602D" w:rsidRPr="00A42EBD">
        <w:rPr>
          <w:b/>
          <w:color w:val="000000" w:themeColor="text1"/>
          <w:lang w:val="vi-VN"/>
        </w:rPr>
        <w:t>3</w:t>
      </w:r>
      <w:r w:rsidRPr="00A42EBD">
        <w:rPr>
          <w:b/>
          <w:color w:val="000000" w:themeColor="text1"/>
          <w:lang w:val="vi-VN"/>
        </w:rPr>
        <w:t xml:space="preserve"> của một số quốc gia</w:t>
      </w:r>
    </w:p>
    <w:p w14:paraId="28C5CBD5" w14:textId="77777777" w:rsidR="006A76A8" w:rsidRDefault="006A76A8" w:rsidP="00060AE9">
      <w:pPr>
        <w:spacing w:before="120" w:after="120" w:line="240" w:lineRule="auto"/>
        <w:ind w:firstLine="720"/>
        <w:jc w:val="right"/>
        <w:rPr>
          <w:i/>
          <w:color w:val="000000" w:themeColor="text1"/>
          <w:sz w:val="24"/>
          <w:szCs w:val="24"/>
          <w:lang w:val="vi-VN"/>
        </w:rPr>
      </w:pPr>
      <w:r w:rsidRPr="00A42EBD">
        <w:rPr>
          <w:i/>
          <w:color w:val="000000" w:themeColor="text1"/>
          <w:sz w:val="24"/>
          <w:szCs w:val="24"/>
          <w:lang w:val="vi-VN"/>
        </w:rPr>
        <w:t>Đơn vị tính: %</w:t>
      </w:r>
    </w:p>
    <w:tbl>
      <w:tblPr>
        <w:tblStyle w:val="GridTable4-Accent11"/>
        <w:tblW w:w="5000" w:type="pct"/>
        <w:tblLayout w:type="fixed"/>
        <w:tblLook w:val="04A0" w:firstRow="1" w:lastRow="0" w:firstColumn="1" w:lastColumn="0" w:noHBand="0" w:noVBand="1"/>
      </w:tblPr>
      <w:tblGrid>
        <w:gridCol w:w="847"/>
        <w:gridCol w:w="2693"/>
        <w:gridCol w:w="2691"/>
        <w:gridCol w:w="2831"/>
      </w:tblGrid>
      <w:tr w:rsidR="00335B0A" w:rsidRPr="00060AE9" w14:paraId="0A1ECD6F" w14:textId="77777777" w:rsidTr="0056068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67" w:type="pct"/>
            <w:vMerge w:val="restart"/>
            <w:tcBorders>
              <w:right w:val="single" w:sz="4" w:space="0" w:color="4F81BD" w:themeColor="accent1"/>
            </w:tcBorders>
            <w:noWrap/>
            <w:vAlign w:val="center"/>
            <w:hideMark/>
          </w:tcPr>
          <w:p w14:paraId="47297D1A" w14:textId="77777777" w:rsidR="00335B0A" w:rsidRPr="00060AE9" w:rsidRDefault="00335B0A" w:rsidP="00060AE9">
            <w:pPr>
              <w:spacing w:after="0" w:line="240" w:lineRule="auto"/>
              <w:jc w:val="center"/>
              <w:rPr>
                <w:rFonts w:cs="Times New Roman"/>
                <w:color w:val="auto"/>
                <w:szCs w:val="28"/>
                <w:lang w:val="vi-VN"/>
              </w:rPr>
            </w:pPr>
            <w:r w:rsidRPr="00060AE9">
              <w:rPr>
                <w:rFonts w:cs="Times New Roman"/>
                <w:color w:val="auto"/>
                <w:szCs w:val="28"/>
                <w:lang w:val="vi-VN"/>
              </w:rPr>
              <w:t>STT</w:t>
            </w:r>
          </w:p>
        </w:tc>
        <w:tc>
          <w:tcPr>
            <w:tcW w:w="1486" w:type="pct"/>
            <w:vMerge w:val="restart"/>
            <w:tcBorders>
              <w:left w:val="single" w:sz="4" w:space="0" w:color="4F81BD" w:themeColor="accent1"/>
              <w:right w:val="single" w:sz="4" w:space="0" w:color="4F81BD" w:themeColor="accent1"/>
            </w:tcBorders>
            <w:noWrap/>
            <w:vAlign w:val="center"/>
            <w:hideMark/>
          </w:tcPr>
          <w:p w14:paraId="1DB1164E" w14:textId="77777777" w:rsidR="00335B0A" w:rsidRPr="00060AE9" w:rsidRDefault="00335B0A" w:rsidP="00060A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Cs w:val="28"/>
                <w:lang w:val="vi-VN"/>
              </w:rPr>
            </w:pPr>
            <w:r w:rsidRPr="00060AE9">
              <w:rPr>
                <w:rFonts w:cs="Times New Roman"/>
                <w:color w:val="auto"/>
                <w:szCs w:val="28"/>
                <w:lang w:val="vi-VN"/>
              </w:rPr>
              <w:t>Quốc gia</w:t>
            </w:r>
          </w:p>
        </w:tc>
        <w:tc>
          <w:tcPr>
            <w:tcW w:w="3047" w:type="pct"/>
            <w:gridSpan w:val="2"/>
            <w:tcBorders>
              <w:left w:val="single" w:sz="4" w:space="0" w:color="4F81BD" w:themeColor="accent1"/>
            </w:tcBorders>
            <w:noWrap/>
            <w:vAlign w:val="center"/>
            <w:hideMark/>
          </w:tcPr>
          <w:p w14:paraId="2DB1693B" w14:textId="77777777" w:rsidR="00335B0A" w:rsidRPr="00060AE9" w:rsidRDefault="00335B0A" w:rsidP="00060A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i/>
                <w:color w:val="auto"/>
                <w:szCs w:val="28"/>
                <w:lang w:val="vi-VN"/>
              </w:rPr>
            </w:pPr>
            <w:r w:rsidRPr="00060AE9">
              <w:rPr>
                <w:rFonts w:eastAsia="Times New Roman" w:cs="Times New Roman"/>
                <w:color w:val="auto"/>
                <w:szCs w:val="28"/>
                <w:lang w:val="vi-VN"/>
              </w:rPr>
              <w:t xml:space="preserve">Dự báo tăng trưởng GDP Quý </w:t>
            </w:r>
            <w:r w:rsidRPr="00060AE9">
              <w:rPr>
                <w:rFonts w:eastAsia="Times New Roman" w:cs="Times New Roman"/>
                <w:color w:val="auto"/>
                <w:szCs w:val="28"/>
              </w:rPr>
              <w:t>I</w:t>
            </w:r>
            <w:r w:rsidRPr="00060AE9">
              <w:rPr>
                <w:rFonts w:eastAsia="Times New Roman" w:cs="Times New Roman"/>
                <w:color w:val="auto"/>
                <w:szCs w:val="28"/>
                <w:lang w:val="vi-VN"/>
              </w:rPr>
              <w:t>I năm 2023</w:t>
            </w:r>
          </w:p>
        </w:tc>
      </w:tr>
      <w:tr w:rsidR="00335B0A" w:rsidRPr="00060AE9" w14:paraId="6BBAA4AA" w14:textId="77777777" w:rsidTr="00560682">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000" w:firstRow="0" w:lastRow="0" w:firstColumn="1" w:lastColumn="0" w:oddVBand="0" w:evenVBand="0" w:oddHBand="0" w:evenHBand="0" w:firstRowFirstColumn="0" w:firstRowLastColumn="0" w:lastRowFirstColumn="0" w:lastRowLastColumn="0"/>
            <w:tcW w:w="467" w:type="pct"/>
            <w:vMerge/>
            <w:tcBorders>
              <w:right w:val="single" w:sz="4" w:space="0" w:color="4F81BD" w:themeColor="accent1"/>
            </w:tcBorders>
            <w:noWrap/>
            <w:vAlign w:val="center"/>
          </w:tcPr>
          <w:p w14:paraId="5ABBDC5C" w14:textId="77777777" w:rsidR="00335B0A" w:rsidRPr="00060AE9" w:rsidRDefault="00335B0A" w:rsidP="00060AE9">
            <w:pPr>
              <w:spacing w:after="0" w:line="240" w:lineRule="auto"/>
              <w:jc w:val="center"/>
              <w:rPr>
                <w:rFonts w:cs="Times New Roman"/>
                <w:i/>
                <w:szCs w:val="28"/>
                <w:lang w:val="vi-VN"/>
              </w:rPr>
            </w:pPr>
          </w:p>
        </w:tc>
        <w:tc>
          <w:tcPr>
            <w:tcW w:w="1486" w:type="pct"/>
            <w:vMerge/>
            <w:tcBorders>
              <w:left w:val="single" w:sz="4" w:space="0" w:color="4F81BD" w:themeColor="accent1"/>
              <w:right w:val="single" w:sz="4" w:space="0" w:color="4F81BD" w:themeColor="accent1"/>
            </w:tcBorders>
            <w:noWrap/>
            <w:vAlign w:val="center"/>
          </w:tcPr>
          <w:p w14:paraId="7401A8BC" w14:textId="77777777" w:rsidR="00335B0A" w:rsidRPr="00060AE9" w:rsidRDefault="00335B0A" w:rsidP="00060A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i/>
                <w:szCs w:val="28"/>
                <w:lang w:val="vi-VN"/>
              </w:rPr>
            </w:pPr>
          </w:p>
        </w:tc>
        <w:tc>
          <w:tcPr>
            <w:tcW w:w="1485" w:type="pct"/>
            <w:tcBorders>
              <w:left w:val="single" w:sz="4" w:space="0" w:color="4F81BD" w:themeColor="accent1"/>
              <w:right w:val="single" w:sz="4" w:space="0" w:color="4F81BD" w:themeColor="accent1"/>
            </w:tcBorders>
            <w:shd w:val="clear" w:color="auto" w:fill="365F91" w:themeFill="accent1" w:themeFillShade="BF"/>
            <w:noWrap/>
            <w:vAlign w:val="center"/>
          </w:tcPr>
          <w:p w14:paraId="7EB3230A" w14:textId="77777777" w:rsidR="00335B0A" w:rsidRPr="00060AE9" w:rsidRDefault="00335B0A" w:rsidP="00060A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i/>
                <w:szCs w:val="28"/>
                <w:lang w:val="vi-VN"/>
              </w:rPr>
            </w:pPr>
            <w:r w:rsidRPr="00060AE9">
              <w:rPr>
                <w:rFonts w:eastAsia="Times New Roman" w:cs="Times New Roman"/>
                <w:szCs w:val="28"/>
                <w:lang w:val="vi-VN"/>
              </w:rPr>
              <w:t xml:space="preserve">So với Quý </w:t>
            </w:r>
            <w:r w:rsidRPr="00060AE9">
              <w:rPr>
                <w:rFonts w:eastAsia="Times New Roman" w:cs="Times New Roman"/>
                <w:szCs w:val="28"/>
              </w:rPr>
              <w:t>II</w:t>
            </w:r>
            <w:r w:rsidRPr="00060AE9">
              <w:rPr>
                <w:rFonts w:eastAsia="Times New Roman" w:cs="Times New Roman"/>
                <w:szCs w:val="28"/>
                <w:lang w:val="vi-VN"/>
              </w:rPr>
              <w:t>/2022</w:t>
            </w:r>
          </w:p>
        </w:tc>
        <w:tc>
          <w:tcPr>
            <w:tcW w:w="1562" w:type="pct"/>
            <w:tcBorders>
              <w:left w:val="single" w:sz="4" w:space="0" w:color="4F81BD" w:themeColor="accent1"/>
            </w:tcBorders>
            <w:shd w:val="clear" w:color="auto" w:fill="365F91" w:themeFill="accent1" w:themeFillShade="BF"/>
            <w:noWrap/>
            <w:vAlign w:val="center"/>
          </w:tcPr>
          <w:p w14:paraId="39542275" w14:textId="77777777" w:rsidR="00335B0A" w:rsidRPr="00060AE9" w:rsidRDefault="00335B0A" w:rsidP="00060A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i/>
                <w:szCs w:val="28"/>
              </w:rPr>
            </w:pPr>
            <w:r w:rsidRPr="00060AE9">
              <w:rPr>
                <w:rFonts w:eastAsia="Times New Roman" w:cs="Times New Roman"/>
                <w:szCs w:val="28"/>
                <w:lang w:val="vi-VN"/>
              </w:rPr>
              <w:t>So với Quý I/202</w:t>
            </w:r>
            <w:r w:rsidRPr="00060AE9">
              <w:rPr>
                <w:rFonts w:eastAsia="Times New Roman" w:cs="Times New Roman"/>
                <w:szCs w:val="28"/>
              </w:rPr>
              <w:t>3</w:t>
            </w:r>
          </w:p>
        </w:tc>
      </w:tr>
      <w:tr w:rsidR="005D0EE5" w:rsidRPr="00060AE9" w14:paraId="2E016656" w14:textId="77777777" w:rsidTr="0056068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hideMark/>
          </w:tcPr>
          <w:p w14:paraId="724BF681"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1</w:t>
            </w:r>
          </w:p>
        </w:tc>
        <w:tc>
          <w:tcPr>
            <w:tcW w:w="1486" w:type="pct"/>
            <w:noWrap/>
            <w:hideMark/>
          </w:tcPr>
          <w:p w14:paraId="673CB0AA" w14:textId="77777777" w:rsidR="005D0EE5" w:rsidRPr="00060AE9" w:rsidRDefault="005D0EE5" w:rsidP="00060AE9">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lang w:val="vi-VN"/>
              </w:rPr>
            </w:pPr>
            <w:r w:rsidRPr="00060AE9">
              <w:rPr>
                <w:rFonts w:cs="Times New Roman"/>
              </w:rPr>
              <w:t>Ca-na-đa</w:t>
            </w:r>
          </w:p>
        </w:tc>
        <w:tc>
          <w:tcPr>
            <w:tcW w:w="1485" w:type="pct"/>
            <w:noWrap/>
          </w:tcPr>
          <w:p w14:paraId="1E526910" w14:textId="77777777" w:rsidR="005D0EE5" w:rsidRPr="00060AE9" w:rsidRDefault="005D0EE5"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lang w:val="vi-VN"/>
              </w:rPr>
            </w:pPr>
            <w:r w:rsidRPr="00060AE9">
              <w:rPr>
                <w:rFonts w:cs="Times New Roman"/>
              </w:rPr>
              <w:t>0,8</w:t>
            </w:r>
          </w:p>
        </w:tc>
        <w:tc>
          <w:tcPr>
            <w:tcW w:w="1562" w:type="pct"/>
            <w:noWrap/>
          </w:tcPr>
          <w:p w14:paraId="5A955597" w14:textId="77777777" w:rsidR="005D0EE5" w:rsidRPr="00060AE9" w:rsidRDefault="00AD6484"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rPr>
            </w:pPr>
            <w:r w:rsidRPr="00060AE9">
              <w:rPr>
                <w:rFonts w:cs="Times New Roman"/>
                <w:szCs w:val="28"/>
              </w:rPr>
              <w:t>-0,2</w:t>
            </w:r>
          </w:p>
        </w:tc>
      </w:tr>
      <w:tr w:rsidR="005D0EE5" w:rsidRPr="00060AE9" w14:paraId="21A9AD83" w14:textId="77777777" w:rsidTr="00560682">
        <w:trPr>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hideMark/>
          </w:tcPr>
          <w:p w14:paraId="06BFBAFA"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2</w:t>
            </w:r>
          </w:p>
        </w:tc>
        <w:tc>
          <w:tcPr>
            <w:tcW w:w="1486" w:type="pct"/>
            <w:noWrap/>
            <w:hideMark/>
          </w:tcPr>
          <w:p w14:paraId="0474B21C" w14:textId="77777777" w:rsidR="005D0EE5" w:rsidRPr="00060AE9" w:rsidRDefault="005D0EE5" w:rsidP="00060AE9">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lang w:val="vi-VN"/>
              </w:rPr>
            </w:pPr>
            <w:r w:rsidRPr="00060AE9">
              <w:rPr>
                <w:rFonts w:cs="Times New Roman"/>
              </w:rPr>
              <w:t>Hoa Kỳ</w:t>
            </w:r>
          </w:p>
        </w:tc>
        <w:tc>
          <w:tcPr>
            <w:tcW w:w="1485" w:type="pct"/>
            <w:noWrap/>
          </w:tcPr>
          <w:p w14:paraId="0BE192DF" w14:textId="77777777" w:rsidR="005D0EE5" w:rsidRPr="00060AE9" w:rsidRDefault="005D0EE5"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lang w:val="vi-VN"/>
              </w:rPr>
            </w:pPr>
            <w:r w:rsidRPr="00060AE9">
              <w:rPr>
                <w:rFonts w:cs="Times New Roman"/>
              </w:rPr>
              <w:t>1,2</w:t>
            </w:r>
          </w:p>
        </w:tc>
        <w:tc>
          <w:tcPr>
            <w:tcW w:w="1562" w:type="pct"/>
            <w:noWrap/>
          </w:tcPr>
          <w:p w14:paraId="67CC3F6A" w14:textId="77777777" w:rsidR="005D0EE5" w:rsidRPr="00060AE9" w:rsidRDefault="00AD6484"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rPr>
            </w:pPr>
            <w:r w:rsidRPr="00060AE9">
              <w:rPr>
                <w:rFonts w:cs="Times New Roman"/>
                <w:szCs w:val="28"/>
              </w:rPr>
              <w:t>1,6</w:t>
            </w:r>
          </w:p>
        </w:tc>
      </w:tr>
      <w:tr w:rsidR="005D0EE5" w:rsidRPr="00060AE9" w14:paraId="73673BB7" w14:textId="77777777" w:rsidTr="0056068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hideMark/>
          </w:tcPr>
          <w:p w14:paraId="05723291"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3</w:t>
            </w:r>
          </w:p>
        </w:tc>
        <w:tc>
          <w:tcPr>
            <w:tcW w:w="1486" w:type="pct"/>
            <w:noWrap/>
            <w:hideMark/>
          </w:tcPr>
          <w:p w14:paraId="090A8C17" w14:textId="77777777" w:rsidR="005D0EE5" w:rsidRPr="00060AE9" w:rsidRDefault="005D0EE5" w:rsidP="00060AE9">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lang w:val="vi-VN"/>
              </w:rPr>
            </w:pPr>
            <w:r w:rsidRPr="00060AE9">
              <w:rPr>
                <w:rFonts w:cs="Times New Roman"/>
              </w:rPr>
              <w:t>Anh</w:t>
            </w:r>
          </w:p>
        </w:tc>
        <w:tc>
          <w:tcPr>
            <w:tcW w:w="1485" w:type="pct"/>
            <w:noWrap/>
          </w:tcPr>
          <w:p w14:paraId="74AD16A9" w14:textId="77777777" w:rsidR="005D0EE5" w:rsidRPr="00060AE9" w:rsidRDefault="005D0EE5"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lang w:val="vi-VN"/>
              </w:rPr>
            </w:pPr>
            <w:r w:rsidRPr="00060AE9">
              <w:rPr>
                <w:rFonts w:cs="Times New Roman"/>
              </w:rPr>
              <w:t>-0,8</w:t>
            </w:r>
          </w:p>
        </w:tc>
        <w:tc>
          <w:tcPr>
            <w:tcW w:w="1562" w:type="pct"/>
            <w:noWrap/>
          </w:tcPr>
          <w:p w14:paraId="2F4B3619" w14:textId="77777777" w:rsidR="005D0EE5" w:rsidRPr="00060AE9" w:rsidRDefault="00AD6484"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rPr>
            </w:pPr>
            <w:r w:rsidRPr="00060AE9">
              <w:rPr>
                <w:rFonts w:cs="Times New Roman"/>
                <w:szCs w:val="28"/>
              </w:rPr>
              <w:t>0,1</w:t>
            </w:r>
          </w:p>
        </w:tc>
      </w:tr>
      <w:tr w:rsidR="005D0EE5" w:rsidRPr="00060AE9" w14:paraId="60D077E8" w14:textId="77777777" w:rsidTr="00560682">
        <w:trPr>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hideMark/>
          </w:tcPr>
          <w:p w14:paraId="5A6AC521"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4</w:t>
            </w:r>
          </w:p>
        </w:tc>
        <w:tc>
          <w:tcPr>
            <w:tcW w:w="1486" w:type="pct"/>
            <w:noWrap/>
            <w:hideMark/>
          </w:tcPr>
          <w:p w14:paraId="4D196153" w14:textId="77777777" w:rsidR="005D0EE5" w:rsidRPr="00060AE9" w:rsidRDefault="005D0EE5" w:rsidP="00060AE9">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lang w:val="vi-VN"/>
              </w:rPr>
            </w:pPr>
            <w:r w:rsidRPr="00060AE9">
              <w:rPr>
                <w:rFonts w:cs="Times New Roman"/>
              </w:rPr>
              <w:t>Đức</w:t>
            </w:r>
          </w:p>
        </w:tc>
        <w:tc>
          <w:tcPr>
            <w:tcW w:w="1485" w:type="pct"/>
            <w:noWrap/>
          </w:tcPr>
          <w:p w14:paraId="61B77AED" w14:textId="77777777" w:rsidR="005D0EE5" w:rsidRPr="00060AE9" w:rsidRDefault="005D0EE5"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lang w:val="vi-VN"/>
              </w:rPr>
            </w:pPr>
            <w:r w:rsidRPr="00060AE9">
              <w:rPr>
                <w:rFonts w:cs="Times New Roman"/>
              </w:rPr>
              <w:t>-0,6</w:t>
            </w:r>
          </w:p>
        </w:tc>
        <w:tc>
          <w:tcPr>
            <w:tcW w:w="1562" w:type="pct"/>
            <w:noWrap/>
          </w:tcPr>
          <w:p w14:paraId="56F3C4C4" w14:textId="77777777" w:rsidR="005D0EE5" w:rsidRPr="00060AE9" w:rsidRDefault="00AD6484"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rPr>
            </w:pPr>
            <w:r w:rsidRPr="00060AE9">
              <w:rPr>
                <w:rFonts w:cs="Times New Roman"/>
                <w:szCs w:val="28"/>
              </w:rPr>
              <w:t>0,3</w:t>
            </w:r>
          </w:p>
        </w:tc>
      </w:tr>
      <w:tr w:rsidR="005D0EE5" w:rsidRPr="00060AE9" w14:paraId="78CAE19E" w14:textId="77777777" w:rsidTr="0056068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hideMark/>
          </w:tcPr>
          <w:p w14:paraId="3894DDEB"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5</w:t>
            </w:r>
          </w:p>
        </w:tc>
        <w:tc>
          <w:tcPr>
            <w:tcW w:w="1486" w:type="pct"/>
            <w:noWrap/>
            <w:hideMark/>
          </w:tcPr>
          <w:p w14:paraId="421243A8" w14:textId="77777777" w:rsidR="005D0EE5" w:rsidRPr="00060AE9" w:rsidRDefault="005D0EE5" w:rsidP="00060AE9">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lang w:val="vi-VN"/>
              </w:rPr>
            </w:pPr>
            <w:r w:rsidRPr="00060AE9">
              <w:rPr>
                <w:rFonts w:cs="Times New Roman"/>
              </w:rPr>
              <w:t>Pháp</w:t>
            </w:r>
          </w:p>
        </w:tc>
        <w:tc>
          <w:tcPr>
            <w:tcW w:w="1485" w:type="pct"/>
            <w:noWrap/>
          </w:tcPr>
          <w:p w14:paraId="51BA6237" w14:textId="77777777" w:rsidR="005D0EE5" w:rsidRPr="00060AE9" w:rsidRDefault="005D0EE5"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lang w:val="vi-VN"/>
              </w:rPr>
            </w:pPr>
            <w:r w:rsidRPr="00060AE9">
              <w:rPr>
                <w:rFonts w:cs="Times New Roman"/>
              </w:rPr>
              <w:t>1,0</w:t>
            </w:r>
          </w:p>
        </w:tc>
        <w:tc>
          <w:tcPr>
            <w:tcW w:w="1562" w:type="pct"/>
            <w:noWrap/>
          </w:tcPr>
          <w:p w14:paraId="7656BE2E" w14:textId="77777777" w:rsidR="005D0EE5" w:rsidRPr="00060AE9" w:rsidRDefault="00AD6484"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rPr>
            </w:pPr>
            <w:r w:rsidRPr="00060AE9">
              <w:rPr>
                <w:rFonts w:cs="Times New Roman"/>
                <w:szCs w:val="28"/>
              </w:rPr>
              <w:t>0,1</w:t>
            </w:r>
          </w:p>
        </w:tc>
      </w:tr>
      <w:tr w:rsidR="005D0EE5" w:rsidRPr="00060AE9" w14:paraId="432C06D0" w14:textId="77777777" w:rsidTr="00560682">
        <w:trPr>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hideMark/>
          </w:tcPr>
          <w:p w14:paraId="1A3E74CB"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6</w:t>
            </w:r>
          </w:p>
        </w:tc>
        <w:tc>
          <w:tcPr>
            <w:tcW w:w="1486" w:type="pct"/>
            <w:noWrap/>
            <w:hideMark/>
          </w:tcPr>
          <w:p w14:paraId="6913561A" w14:textId="77777777" w:rsidR="005D0EE5" w:rsidRPr="00060AE9" w:rsidRDefault="005D0EE5" w:rsidP="00060AE9">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lang w:val="vi-VN"/>
              </w:rPr>
            </w:pPr>
            <w:r w:rsidRPr="00060AE9">
              <w:rPr>
                <w:rFonts w:cs="Times New Roman"/>
              </w:rPr>
              <w:t>I-ta-li-a</w:t>
            </w:r>
          </w:p>
        </w:tc>
        <w:tc>
          <w:tcPr>
            <w:tcW w:w="1485" w:type="pct"/>
            <w:noWrap/>
          </w:tcPr>
          <w:p w14:paraId="25DB12CA" w14:textId="77777777" w:rsidR="005D0EE5" w:rsidRPr="00060AE9" w:rsidRDefault="005D0EE5"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lang w:val="vi-VN"/>
              </w:rPr>
            </w:pPr>
            <w:r w:rsidRPr="00060AE9">
              <w:rPr>
                <w:rFonts w:cs="Times New Roman"/>
              </w:rPr>
              <w:t>1,6</w:t>
            </w:r>
          </w:p>
        </w:tc>
        <w:tc>
          <w:tcPr>
            <w:tcW w:w="1562" w:type="pct"/>
            <w:noWrap/>
          </w:tcPr>
          <w:p w14:paraId="606CA613" w14:textId="77777777" w:rsidR="005D0EE5" w:rsidRPr="00060AE9" w:rsidRDefault="00AD6484"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rPr>
            </w:pPr>
            <w:r w:rsidRPr="00060AE9">
              <w:rPr>
                <w:rFonts w:cs="Times New Roman"/>
                <w:szCs w:val="28"/>
              </w:rPr>
              <w:t>0,2</w:t>
            </w:r>
          </w:p>
        </w:tc>
      </w:tr>
      <w:tr w:rsidR="005D0EE5" w:rsidRPr="00060AE9" w14:paraId="05235854" w14:textId="77777777" w:rsidTr="0056068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hideMark/>
          </w:tcPr>
          <w:p w14:paraId="0B0E2039"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7</w:t>
            </w:r>
          </w:p>
        </w:tc>
        <w:tc>
          <w:tcPr>
            <w:tcW w:w="1486" w:type="pct"/>
            <w:noWrap/>
            <w:hideMark/>
          </w:tcPr>
          <w:p w14:paraId="37F6E933" w14:textId="77777777" w:rsidR="005D0EE5" w:rsidRPr="00060AE9" w:rsidRDefault="005D0EE5" w:rsidP="00060AE9">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lang w:val="vi-VN"/>
              </w:rPr>
            </w:pPr>
            <w:r w:rsidRPr="00060AE9">
              <w:rPr>
                <w:rFonts w:cs="Times New Roman"/>
              </w:rPr>
              <w:t>Tây Ban Nha</w:t>
            </w:r>
          </w:p>
        </w:tc>
        <w:tc>
          <w:tcPr>
            <w:tcW w:w="1485" w:type="pct"/>
            <w:noWrap/>
          </w:tcPr>
          <w:p w14:paraId="165D0FBD" w14:textId="77777777" w:rsidR="005D0EE5" w:rsidRPr="00060AE9" w:rsidRDefault="005D0EE5"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lang w:val="vi-VN"/>
              </w:rPr>
            </w:pPr>
            <w:r w:rsidRPr="00060AE9">
              <w:rPr>
                <w:rFonts w:cs="Times New Roman"/>
              </w:rPr>
              <w:t>0,1</w:t>
            </w:r>
          </w:p>
        </w:tc>
        <w:tc>
          <w:tcPr>
            <w:tcW w:w="1562" w:type="pct"/>
            <w:noWrap/>
          </w:tcPr>
          <w:p w14:paraId="0B3180B5" w14:textId="77777777" w:rsidR="005D0EE5" w:rsidRPr="00060AE9" w:rsidRDefault="00AD6484"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rPr>
            </w:pPr>
            <w:r w:rsidRPr="00060AE9">
              <w:rPr>
                <w:rFonts w:cs="Times New Roman"/>
                <w:szCs w:val="28"/>
              </w:rPr>
              <w:t>0,2</w:t>
            </w:r>
          </w:p>
        </w:tc>
      </w:tr>
      <w:tr w:rsidR="005D0EE5" w:rsidRPr="00060AE9" w14:paraId="58731C43" w14:textId="77777777" w:rsidTr="00560682">
        <w:trPr>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hideMark/>
          </w:tcPr>
          <w:p w14:paraId="38004750"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8</w:t>
            </w:r>
          </w:p>
        </w:tc>
        <w:tc>
          <w:tcPr>
            <w:tcW w:w="1486" w:type="pct"/>
            <w:noWrap/>
            <w:hideMark/>
          </w:tcPr>
          <w:p w14:paraId="7DBC95C2" w14:textId="77777777" w:rsidR="005D0EE5" w:rsidRPr="00060AE9" w:rsidRDefault="005D0EE5" w:rsidP="00060AE9">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lang w:val="vi-VN"/>
              </w:rPr>
            </w:pPr>
            <w:r w:rsidRPr="00060AE9">
              <w:rPr>
                <w:rFonts w:cs="Times New Roman"/>
              </w:rPr>
              <w:t>Trung Quốc</w:t>
            </w:r>
          </w:p>
        </w:tc>
        <w:tc>
          <w:tcPr>
            <w:tcW w:w="1485" w:type="pct"/>
            <w:noWrap/>
          </w:tcPr>
          <w:p w14:paraId="46CA418A" w14:textId="77777777" w:rsidR="005D0EE5" w:rsidRPr="00060AE9" w:rsidRDefault="005D0EE5"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lang w:val="vi-VN"/>
              </w:rPr>
            </w:pPr>
            <w:r w:rsidRPr="00060AE9">
              <w:rPr>
                <w:rFonts w:cs="Times New Roman"/>
              </w:rPr>
              <w:t>5,8</w:t>
            </w:r>
          </w:p>
        </w:tc>
        <w:tc>
          <w:tcPr>
            <w:tcW w:w="1562" w:type="pct"/>
            <w:noWrap/>
          </w:tcPr>
          <w:p w14:paraId="584133F5" w14:textId="77777777" w:rsidR="005D0EE5" w:rsidRPr="00060AE9" w:rsidRDefault="00AD6484"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rPr>
            </w:pPr>
            <w:r w:rsidRPr="00060AE9">
              <w:rPr>
                <w:rFonts w:cs="Times New Roman"/>
                <w:szCs w:val="28"/>
              </w:rPr>
              <w:t>1,5</w:t>
            </w:r>
          </w:p>
        </w:tc>
      </w:tr>
      <w:tr w:rsidR="005D0EE5" w:rsidRPr="00060AE9" w14:paraId="01CD1375" w14:textId="77777777" w:rsidTr="0056068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hideMark/>
          </w:tcPr>
          <w:p w14:paraId="53102382"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9</w:t>
            </w:r>
          </w:p>
        </w:tc>
        <w:tc>
          <w:tcPr>
            <w:tcW w:w="1486" w:type="pct"/>
            <w:noWrap/>
            <w:hideMark/>
          </w:tcPr>
          <w:p w14:paraId="2D2F2505" w14:textId="77777777" w:rsidR="005D0EE5" w:rsidRPr="00060AE9" w:rsidRDefault="005D0EE5" w:rsidP="00060AE9">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lang w:val="vi-VN"/>
              </w:rPr>
            </w:pPr>
            <w:r w:rsidRPr="00060AE9">
              <w:rPr>
                <w:rFonts w:cs="Times New Roman"/>
              </w:rPr>
              <w:t>Ấn Độ</w:t>
            </w:r>
          </w:p>
        </w:tc>
        <w:tc>
          <w:tcPr>
            <w:tcW w:w="1485" w:type="pct"/>
            <w:noWrap/>
          </w:tcPr>
          <w:p w14:paraId="04ABEEC9" w14:textId="77777777" w:rsidR="005D0EE5" w:rsidRPr="00060AE9" w:rsidRDefault="005D0EE5"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lang w:val="vi-VN"/>
              </w:rPr>
            </w:pPr>
            <w:r w:rsidRPr="00060AE9">
              <w:rPr>
                <w:rFonts w:cs="Times New Roman"/>
              </w:rPr>
              <w:t>4,0</w:t>
            </w:r>
          </w:p>
        </w:tc>
        <w:tc>
          <w:tcPr>
            <w:tcW w:w="1562" w:type="pct"/>
            <w:noWrap/>
          </w:tcPr>
          <w:p w14:paraId="52F450D0" w14:textId="77777777" w:rsidR="005D0EE5" w:rsidRPr="00060AE9" w:rsidRDefault="00AD6484"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rPr>
            </w:pPr>
            <w:r w:rsidRPr="00060AE9">
              <w:rPr>
                <w:rFonts w:cs="Times New Roman"/>
                <w:szCs w:val="28"/>
              </w:rPr>
              <w:t>0,9</w:t>
            </w:r>
          </w:p>
        </w:tc>
      </w:tr>
      <w:tr w:rsidR="005D0EE5" w:rsidRPr="00060AE9" w14:paraId="3B037A19" w14:textId="77777777" w:rsidTr="00560682">
        <w:trPr>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hideMark/>
          </w:tcPr>
          <w:p w14:paraId="33702574"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10</w:t>
            </w:r>
          </w:p>
        </w:tc>
        <w:tc>
          <w:tcPr>
            <w:tcW w:w="1486" w:type="pct"/>
            <w:noWrap/>
            <w:hideMark/>
          </w:tcPr>
          <w:p w14:paraId="7059A496" w14:textId="77777777" w:rsidR="005D0EE5" w:rsidRPr="00060AE9" w:rsidRDefault="005D0EE5" w:rsidP="00060AE9">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lang w:val="vi-VN"/>
              </w:rPr>
            </w:pPr>
            <w:r w:rsidRPr="00060AE9">
              <w:rPr>
                <w:rFonts w:cs="Times New Roman"/>
              </w:rPr>
              <w:t>Nhật Bản</w:t>
            </w:r>
          </w:p>
        </w:tc>
        <w:tc>
          <w:tcPr>
            <w:tcW w:w="1485" w:type="pct"/>
            <w:noWrap/>
          </w:tcPr>
          <w:p w14:paraId="3A0C1058" w14:textId="77777777" w:rsidR="005D0EE5" w:rsidRPr="00060AE9" w:rsidRDefault="005D0EE5"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lang w:val="vi-VN"/>
              </w:rPr>
            </w:pPr>
            <w:r w:rsidRPr="00060AE9">
              <w:rPr>
                <w:rFonts w:cs="Times New Roman"/>
              </w:rPr>
              <w:t>0,6</w:t>
            </w:r>
          </w:p>
        </w:tc>
        <w:tc>
          <w:tcPr>
            <w:tcW w:w="1562" w:type="pct"/>
            <w:noWrap/>
          </w:tcPr>
          <w:p w14:paraId="7BDBD190" w14:textId="77777777" w:rsidR="005D0EE5" w:rsidRPr="00060AE9" w:rsidRDefault="00AD6484"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rPr>
            </w:pPr>
            <w:r w:rsidRPr="00060AE9">
              <w:rPr>
                <w:rFonts w:cs="Times New Roman"/>
                <w:szCs w:val="28"/>
              </w:rPr>
              <w:t>0,5</w:t>
            </w:r>
          </w:p>
        </w:tc>
      </w:tr>
      <w:tr w:rsidR="005D0EE5" w:rsidRPr="00060AE9" w14:paraId="1EE3EC79" w14:textId="77777777" w:rsidTr="0056068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hideMark/>
          </w:tcPr>
          <w:p w14:paraId="0F6FE36E"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11</w:t>
            </w:r>
          </w:p>
        </w:tc>
        <w:tc>
          <w:tcPr>
            <w:tcW w:w="1486" w:type="pct"/>
            <w:noWrap/>
            <w:hideMark/>
          </w:tcPr>
          <w:p w14:paraId="5274BE57" w14:textId="77777777" w:rsidR="005D0EE5" w:rsidRPr="00060AE9" w:rsidRDefault="005D0EE5" w:rsidP="00060AE9">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lang w:val="vi-VN"/>
              </w:rPr>
            </w:pPr>
            <w:r w:rsidRPr="00060AE9">
              <w:rPr>
                <w:rFonts w:cs="Times New Roman"/>
              </w:rPr>
              <w:t>Hàn Quốc</w:t>
            </w:r>
          </w:p>
        </w:tc>
        <w:tc>
          <w:tcPr>
            <w:tcW w:w="1485" w:type="pct"/>
            <w:noWrap/>
          </w:tcPr>
          <w:p w14:paraId="63B6DF1A" w14:textId="77777777" w:rsidR="005D0EE5" w:rsidRPr="00060AE9" w:rsidRDefault="005D0EE5"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lang w:val="vi-VN"/>
              </w:rPr>
            </w:pPr>
            <w:r w:rsidRPr="00060AE9">
              <w:rPr>
                <w:rFonts w:cs="Times New Roman"/>
              </w:rPr>
              <w:t>1,8</w:t>
            </w:r>
          </w:p>
        </w:tc>
        <w:tc>
          <w:tcPr>
            <w:tcW w:w="1562" w:type="pct"/>
            <w:noWrap/>
          </w:tcPr>
          <w:p w14:paraId="7999DDEE" w14:textId="77777777" w:rsidR="005D0EE5" w:rsidRPr="00060AE9" w:rsidRDefault="00AD6484"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rPr>
            </w:pPr>
            <w:r w:rsidRPr="00060AE9">
              <w:rPr>
                <w:rFonts w:cs="Times New Roman"/>
                <w:szCs w:val="28"/>
              </w:rPr>
              <w:t>0,5</w:t>
            </w:r>
          </w:p>
        </w:tc>
      </w:tr>
      <w:tr w:rsidR="005D0EE5" w:rsidRPr="00060AE9" w14:paraId="052921BE" w14:textId="77777777" w:rsidTr="00560682">
        <w:trPr>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hideMark/>
          </w:tcPr>
          <w:p w14:paraId="28F39EEC"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12</w:t>
            </w:r>
          </w:p>
        </w:tc>
        <w:tc>
          <w:tcPr>
            <w:tcW w:w="1486" w:type="pct"/>
            <w:noWrap/>
            <w:hideMark/>
          </w:tcPr>
          <w:p w14:paraId="252489B8" w14:textId="77777777" w:rsidR="005D0EE5" w:rsidRPr="00060AE9" w:rsidRDefault="005D0EE5" w:rsidP="00060AE9">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lang w:val="vi-VN"/>
              </w:rPr>
            </w:pPr>
            <w:r w:rsidRPr="00060AE9">
              <w:rPr>
                <w:rFonts w:cs="Times New Roman"/>
              </w:rPr>
              <w:t>Ô-xtrây-li-a</w:t>
            </w:r>
          </w:p>
        </w:tc>
        <w:tc>
          <w:tcPr>
            <w:tcW w:w="1485" w:type="pct"/>
            <w:noWrap/>
          </w:tcPr>
          <w:p w14:paraId="05C42459" w14:textId="77777777" w:rsidR="005D0EE5" w:rsidRPr="00060AE9" w:rsidRDefault="005D0EE5"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lang w:val="vi-VN"/>
              </w:rPr>
            </w:pPr>
            <w:r w:rsidRPr="00060AE9">
              <w:rPr>
                <w:rFonts w:cs="Times New Roman"/>
              </w:rPr>
              <w:t>2,0</w:t>
            </w:r>
          </w:p>
        </w:tc>
        <w:tc>
          <w:tcPr>
            <w:tcW w:w="1562" w:type="pct"/>
            <w:noWrap/>
          </w:tcPr>
          <w:p w14:paraId="50B32F44" w14:textId="77777777" w:rsidR="005D0EE5" w:rsidRPr="00060AE9" w:rsidRDefault="00AD6484"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rPr>
            </w:pPr>
            <w:r w:rsidRPr="00060AE9">
              <w:rPr>
                <w:rFonts w:cs="Times New Roman"/>
                <w:szCs w:val="28"/>
              </w:rPr>
              <w:t>0,2</w:t>
            </w:r>
          </w:p>
        </w:tc>
      </w:tr>
      <w:tr w:rsidR="005D0EE5" w:rsidRPr="00060AE9" w14:paraId="0BF70574" w14:textId="77777777" w:rsidTr="0056068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hideMark/>
          </w:tcPr>
          <w:p w14:paraId="160027EE"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13</w:t>
            </w:r>
          </w:p>
        </w:tc>
        <w:tc>
          <w:tcPr>
            <w:tcW w:w="1486" w:type="pct"/>
            <w:noWrap/>
            <w:hideMark/>
          </w:tcPr>
          <w:p w14:paraId="1F0887E4" w14:textId="77777777" w:rsidR="005D0EE5" w:rsidRPr="00060AE9" w:rsidRDefault="005D0EE5" w:rsidP="00060AE9">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lang w:val="vi-VN"/>
              </w:rPr>
            </w:pPr>
            <w:r w:rsidRPr="00060AE9">
              <w:rPr>
                <w:rFonts w:cs="Times New Roman"/>
              </w:rPr>
              <w:t>In-đô-nê-xi-a</w:t>
            </w:r>
          </w:p>
        </w:tc>
        <w:tc>
          <w:tcPr>
            <w:tcW w:w="1485" w:type="pct"/>
            <w:noWrap/>
          </w:tcPr>
          <w:p w14:paraId="2551F2AC" w14:textId="77777777" w:rsidR="005D0EE5" w:rsidRPr="00060AE9" w:rsidRDefault="005D0EE5"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lang w:val="vi-VN"/>
              </w:rPr>
            </w:pPr>
            <w:r w:rsidRPr="00060AE9">
              <w:rPr>
                <w:rFonts w:cs="Times New Roman"/>
              </w:rPr>
              <w:t>5,1</w:t>
            </w:r>
          </w:p>
        </w:tc>
        <w:tc>
          <w:tcPr>
            <w:tcW w:w="1562" w:type="pct"/>
            <w:noWrap/>
          </w:tcPr>
          <w:p w14:paraId="53D776D7" w14:textId="77777777" w:rsidR="005D0EE5" w:rsidRPr="00060AE9" w:rsidRDefault="00AD6484"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rPr>
            </w:pPr>
            <w:r w:rsidRPr="00060AE9">
              <w:rPr>
                <w:rFonts w:cs="Times New Roman"/>
                <w:szCs w:val="28"/>
              </w:rPr>
              <w:t>0,7</w:t>
            </w:r>
          </w:p>
        </w:tc>
      </w:tr>
      <w:tr w:rsidR="005D0EE5" w:rsidRPr="00060AE9" w14:paraId="7C4ED230" w14:textId="77777777" w:rsidTr="00560682">
        <w:trPr>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hideMark/>
          </w:tcPr>
          <w:p w14:paraId="1E98E379"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14</w:t>
            </w:r>
          </w:p>
        </w:tc>
        <w:tc>
          <w:tcPr>
            <w:tcW w:w="1486" w:type="pct"/>
            <w:noWrap/>
            <w:hideMark/>
          </w:tcPr>
          <w:p w14:paraId="6A5B5280" w14:textId="77777777" w:rsidR="005D0EE5" w:rsidRPr="00060AE9" w:rsidRDefault="005D0EE5" w:rsidP="00060AE9">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lang w:val="vi-VN"/>
              </w:rPr>
            </w:pPr>
            <w:r w:rsidRPr="00060AE9">
              <w:rPr>
                <w:rFonts w:cs="Times New Roman"/>
              </w:rPr>
              <w:t>Thái Lan</w:t>
            </w:r>
          </w:p>
        </w:tc>
        <w:tc>
          <w:tcPr>
            <w:tcW w:w="1485" w:type="pct"/>
            <w:noWrap/>
          </w:tcPr>
          <w:p w14:paraId="4C78E585" w14:textId="77777777" w:rsidR="005D0EE5" w:rsidRPr="00060AE9" w:rsidRDefault="005D0EE5"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lang w:val="vi-VN"/>
              </w:rPr>
            </w:pPr>
            <w:r w:rsidRPr="00060AE9">
              <w:rPr>
                <w:rFonts w:cs="Times New Roman"/>
              </w:rPr>
              <w:t>2,6</w:t>
            </w:r>
          </w:p>
        </w:tc>
        <w:tc>
          <w:tcPr>
            <w:tcW w:w="1562" w:type="pct"/>
            <w:noWrap/>
          </w:tcPr>
          <w:p w14:paraId="550A042B" w14:textId="77777777" w:rsidR="005D0EE5" w:rsidRPr="00060AE9" w:rsidRDefault="00AD6484"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rPr>
            </w:pPr>
            <w:r w:rsidRPr="00060AE9">
              <w:rPr>
                <w:rFonts w:cs="Times New Roman"/>
                <w:szCs w:val="28"/>
              </w:rPr>
              <w:t>1,4</w:t>
            </w:r>
          </w:p>
        </w:tc>
      </w:tr>
      <w:tr w:rsidR="005D0EE5" w:rsidRPr="00060AE9" w14:paraId="01387D9F" w14:textId="77777777" w:rsidTr="0056068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hideMark/>
          </w:tcPr>
          <w:p w14:paraId="76E28334"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15</w:t>
            </w:r>
          </w:p>
        </w:tc>
        <w:tc>
          <w:tcPr>
            <w:tcW w:w="1486" w:type="pct"/>
            <w:noWrap/>
            <w:hideMark/>
          </w:tcPr>
          <w:p w14:paraId="6AD06730" w14:textId="77777777" w:rsidR="005D0EE5" w:rsidRPr="00060AE9" w:rsidRDefault="005D0EE5" w:rsidP="00060AE9">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lang w:val="vi-VN"/>
              </w:rPr>
            </w:pPr>
            <w:r w:rsidRPr="00060AE9">
              <w:rPr>
                <w:rFonts w:cs="Times New Roman"/>
              </w:rPr>
              <w:t>Ma-lai-xi-a</w:t>
            </w:r>
          </w:p>
        </w:tc>
        <w:tc>
          <w:tcPr>
            <w:tcW w:w="1485" w:type="pct"/>
            <w:noWrap/>
          </w:tcPr>
          <w:p w14:paraId="58137BAC" w14:textId="77777777" w:rsidR="005D0EE5" w:rsidRPr="00060AE9" w:rsidRDefault="005D0EE5"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lang w:val="vi-VN"/>
              </w:rPr>
            </w:pPr>
            <w:r w:rsidRPr="00060AE9">
              <w:rPr>
                <w:rFonts w:cs="Times New Roman"/>
              </w:rPr>
              <w:t>4,7</w:t>
            </w:r>
          </w:p>
        </w:tc>
        <w:tc>
          <w:tcPr>
            <w:tcW w:w="1562" w:type="pct"/>
            <w:noWrap/>
          </w:tcPr>
          <w:p w14:paraId="7E7C4A3A" w14:textId="77777777" w:rsidR="005D0EE5" w:rsidRPr="00060AE9" w:rsidRDefault="00AD6484"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rPr>
            </w:pPr>
            <w:r w:rsidRPr="00060AE9">
              <w:rPr>
                <w:rFonts w:cs="Times New Roman"/>
                <w:szCs w:val="28"/>
              </w:rPr>
              <w:t>2,0</w:t>
            </w:r>
          </w:p>
        </w:tc>
      </w:tr>
      <w:tr w:rsidR="005D0EE5" w:rsidRPr="00060AE9" w14:paraId="12A38EC0" w14:textId="77777777" w:rsidTr="00560682">
        <w:trPr>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hideMark/>
          </w:tcPr>
          <w:p w14:paraId="6F37FBA0"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16</w:t>
            </w:r>
          </w:p>
        </w:tc>
        <w:tc>
          <w:tcPr>
            <w:tcW w:w="1486" w:type="pct"/>
            <w:noWrap/>
            <w:hideMark/>
          </w:tcPr>
          <w:p w14:paraId="51BD122D" w14:textId="77777777" w:rsidR="005D0EE5" w:rsidRPr="00060AE9" w:rsidRDefault="005D0EE5" w:rsidP="00060AE9">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lang w:val="vi-VN"/>
              </w:rPr>
            </w:pPr>
            <w:r w:rsidRPr="00060AE9">
              <w:rPr>
                <w:rFonts w:cs="Times New Roman"/>
              </w:rPr>
              <w:t>Xin-ga-po</w:t>
            </w:r>
          </w:p>
        </w:tc>
        <w:tc>
          <w:tcPr>
            <w:tcW w:w="1485" w:type="pct"/>
            <w:noWrap/>
          </w:tcPr>
          <w:p w14:paraId="5D6F20B0" w14:textId="77777777" w:rsidR="005D0EE5" w:rsidRPr="00060AE9" w:rsidRDefault="005D0EE5"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lang w:val="vi-VN"/>
              </w:rPr>
            </w:pPr>
            <w:r w:rsidRPr="00060AE9">
              <w:rPr>
                <w:rFonts w:cs="Times New Roman"/>
              </w:rPr>
              <w:t>1,5</w:t>
            </w:r>
          </w:p>
        </w:tc>
        <w:tc>
          <w:tcPr>
            <w:tcW w:w="1562" w:type="pct"/>
            <w:noWrap/>
          </w:tcPr>
          <w:p w14:paraId="0B45DFB3" w14:textId="77777777" w:rsidR="005D0EE5" w:rsidRPr="00060AE9" w:rsidRDefault="00AD6484"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rPr>
            </w:pPr>
            <w:r w:rsidRPr="00060AE9">
              <w:rPr>
                <w:rFonts w:cs="Times New Roman"/>
                <w:szCs w:val="28"/>
              </w:rPr>
              <w:t>0,2</w:t>
            </w:r>
          </w:p>
        </w:tc>
      </w:tr>
      <w:tr w:rsidR="005D0EE5" w:rsidRPr="00060AE9" w14:paraId="3A6708A0" w14:textId="77777777" w:rsidTr="0056068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hideMark/>
          </w:tcPr>
          <w:p w14:paraId="27A8227C"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17</w:t>
            </w:r>
          </w:p>
        </w:tc>
        <w:tc>
          <w:tcPr>
            <w:tcW w:w="1486" w:type="pct"/>
            <w:noWrap/>
            <w:hideMark/>
          </w:tcPr>
          <w:p w14:paraId="783FB481" w14:textId="77777777" w:rsidR="005D0EE5" w:rsidRPr="00060AE9" w:rsidRDefault="005D0EE5" w:rsidP="00060AE9">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lang w:val="vi-VN"/>
              </w:rPr>
            </w:pPr>
            <w:r w:rsidRPr="00060AE9">
              <w:rPr>
                <w:rFonts w:cs="Times New Roman"/>
              </w:rPr>
              <w:t>Bru-nây</w:t>
            </w:r>
          </w:p>
        </w:tc>
        <w:tc>
          <w:tcPr>
            <w:tcW w:w="1485" w:type="pct"/>
            <w:noWrap/>
          </w:tcPr>
          <w:p w14:paraId="3EFCA150" w14:textId="77777777" w:rsidR="005D0EE5" w:rsidRPr="00060AE9" w:rsidRDefault="005D0EE5"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lang w:val="vi-VN"/>
              </w:rPr>
            </w:pPr>
            <w:r w:rsidRPr="00060AE9">
              <w:rPr>
                <w:rFonts w:cs="Times New Roman"/>
              </w:rPr>
              <w:t>4,5</w:t>
            </w:r>
          </w:p>
        </w:tc>
        <w:tc>
          <w:tcPr>
            <w:tcW w:w="1562" w:type="pct"/>
            <w:noWrap/>
          </w:tcPr>
          <w:p w14:paraId="7CC55BFE" w14:textId="77777777" w:rsidR="005D0EE5" w:rsidRPr="00060AE9" w:rsidRDefault="005D0EE5"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lang w:val="vi-VN"/>
              </w:rPr>
            </w:pPr>
          </w:p>
        </w:tc>
      </w:tr>
      <w:tr w:rsidR="005D0EE5" w:rsidRPr="00060AE9" w14:paraId="5449A939" w14:textId="77777777" w:rsidTr="00560682">
        <w:trPr>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tcPr>
          <w:p w14:paraId="1DC2A497" w14:textId="77777777" w:rsidR="005D0EE5" w:rsidRPr="00060AE9" w:rsidRDefault="005D0EE5" w:rsidP="00060AE9">
            <w:pPr>
              <w:spacing w:after="0" w:line="240" w:lineRule="auto"/>
              <w:jc w:val="center"/>
              <w:rPr>
                <w:rFonts w:cs="Times New Roman"/>
                <w:b w:val="0"/>
                <w:szCs w:val="28"/>
                <w:lang w:val="vi-VN"/>
              </w:rPr>
            </w:pPr>
            <w:r w:rsidRPr="00060AE9">
              <w:rPr>
                <w:rFonts w:cs="Times New Roman"/>
                <w:b w:val="0"/>
                <w:szCs w:val="28"/>
                <w:lang w:val="vi-VN"/>
              </w:rPr>
              <w:t>18</w:t>
            </w:r>
          </w:p>
        </w:tc>
        <w:tc>
          <w:tcPr>
            <w:tcW w:w="1486" w:type="pct"/>
            <w:noWrap/>
          </w:tcPr>
          <w:p w14:paraId="4F30ECC0" w14:textId="77777777" w:rsidR="005D0EE5" w:rsidRPr="00060AE9" w:rsidRDefault="005D0EE5" w:rsidP="00060AE9">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lang w:val="vi-VN"/>
              </w:rPr>
            </w:pPr>
            <w:r w:rsidRPr="00060AE9">
              <w:rPr>
                <w:rFonts w:cs="Times New Roman"/>
              </w:rPr>
              <w:t>Phi-lip-pin</w:t>
            </w:r>
          </w:p>
        </w:tc>
        <w:tc>
          <w:tcPr>
            <w:tcW w:w="1485" w:type="pct"/>
            <w:noWrap/>
          </w:tcPr>
          <w:p w14:paraId="22F76EEC" w14:textId="77777777" w:rsidR="005D0EE5" w:rsidRPr="00060AE9" w:rsidRDefault="005D0EE5"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lang w:val="vi-VN"/>
              </w:rPr>
            </w:pPr>
            <w:r w:rsidRPr="00060AE9">
              <w:rPr>
                <w:rFonts w:cs="Times New Roman"/>
              </w:rPr>
              <w:t>6,3</w:t>
            </w:r>
          </w:p>
        </w:tc>
        <w:tc>
          <w:tcPr>
            <w:tcW w:w="1562" w:type="pct"/>
            <w:noWrap/>
          </w:tcPr>
          <w:p w14:paraId="0967202A" w14:textId="77777777" w:rsidR="005D0EE5" w:rsidRPr="00060AE9" w:rsidRDefault="00AD6484" w:rsidP="00060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8"/>
              </w:rPr>
            </w:pPr>
            <w:r w:rsidRPr="00060AE9">
              <w:rPr>
                <w:rFonts w:cs="Times New Roman"/>
                <w:szCs w:val="28"/>
              </w:rPr>
              <w:t>0,5</w:t>
            </w:r>
          </w:p>
        </w:tc>
      </w:tr>
      <w:tr w:rsidR="00335B0A" w:rsidRPr="00060AE9" w14:paraId="2DCA9008" w14:textId="77777777" w:rsidTr="0056068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67" w:type="pct"/>
            <w:noWrap/>
          </w:tcPr>
          <w:p w14:paraId="28EDD1DD" w14:textId="77777777" w:rsidR="00335B0A" w:rsidRPr="00060AE9" w:rsidRDefault="00335B0A" w:rsidP="00060AE9">
            <w:pPr>
              <w:spacing w:after="0" w:line="240" w:lineRule="auto"/>
              <w:jc w:val="center"/>
              <w:rPr>
                <w:rFonts w:cs="Times New Roman"/>
                <w:b w:val="0"/>
                <w:szCs w:val="28"/>
                <w:lang w:val="vi-VN"/>
              </w:rPr>
            </w:pPr>
            <w:r w:rsidRPr="00060AE9">
              <w:rPr>
                <w:rFonts w:cs="Times New Roman"/>
                <w:b w:val="0"/>
                <w:szCs w:val="28"/>
                <w:lang w:val="vi-VN"/>
              </w:rPr>
              <w:t>19</w:t>
            </w:r>
          </w:p>
        </w:tc>
        <w:tc>
          <w:tcPr>
            <w:tcW w:w="1486" w:type="pct"/>
            <w:noWrap/>
          </w:tcPr>
          <w:p w14:paraId="4698E32D" w14:textId="77777777" w:rsidR="00335B0A" w:rsidRPr="00060AE9" w:rsidRDefault="00335B0A" w:rsidP="00060AE9">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lang w:val="vi-VN"/>
              </w:rPr>
            </w:pPr>
            <w:r w:rsidRPr="00060AE9">
              <w:rPr>
                <w:rFonts w:cs="Times New Roman"/>
                <w:lang w:val="vi-VN"/>
              </w:rPr>
              <w:t>Việt Nam</w:t>
            </w:r>
          </w:p>
        </w:tc>
        <w:tc>
          <w:tcPr>
            <w:tcW w:w="1485" w:type="pct"/>
            <w:noWrap/>
          </w:tcPr>
          <w:p w14:paraId="725011A8" w14:textId="77777777" w:rsidR="00335B0A" w:rsidRPr="00060AE9" w:rsidRDefault="00BB389B"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rPr>
            </w:pPr>
            <w:r w:rsidRPr="00060AE9">
              <w:rPr>
                <w:rFonts w:cs="Times New Roman"/>
                <w:szCs w:val="28"/>
              </w:rPr>
              <w:t>3,5</w:t>
            </w:r>
          </w:p>
        </w:tc>
        <w:tc>
          <w:tcPr>
            <w:tcW w:w="1562" w:type="pct"/>
            <w:noWrap/>
          </w:tcPr>
          <w:p w14:paraId="04C251D8" w14:textId="77777777" w:rsidR="00335B0A" w:rsidRPr="00060AE9" w:rsidRDefault="00335B0A" w:rsidP="00060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8"/>
                <w:lang w:val="vi-VN"/>
              </w:rPr>
            </w:pPr>
          </w:p>
        </w:tc>
      </w:tr>
    </w:tbl>
    <w:p w14:paraId="4F043E19" w14:textId="77777777" w:rsidR="001C67B2" w:rsidRPr="00A42EBD" w:rsidRDefault="00575364" w:rsidP="00060AE9">
      <w:pPr>
        <w:spacing w:before="120" w:after="120" w:line="240" w:lineRule="auto"/>
        <w:ind w:firstLine="720"/>
        <w:rPr>
          <w:i/>
          <w:color w:val="000000" w:themeColor="text1"/>
          <w:sz w:val="24"/>
          <w:lang w:val="vi-VN"/>
        </w:rPr>
      </w:pPr>
      <w:r w:rsidRPr="00A42EBD">
        <w:rPr>
          <w:i/>
          <w:color w:val="000000" w:themeColor="text1"/>
          <w:sz w:val="24"/>
          <w:lang w:val="vi-VN"/>
        </w:rPr>
        <w:t xml:space="preserve">Nguồn: Trading Economics, cập nhật ngày </w:t>
      </w:r>
      <w:r w:rsidR="00AF461A" w:rsidRPr="00A42EBD">
        <w:rPr>
          <w:i/>
          <w:color w:val="000000" w:themeColor="text1"/>
          <w:sz w:val="24"/>
          <w:lang w:val="vi-VN"/>
        </w:rPr>
        <w:t>21</w:t>
      </w:r>
      <w:r w:rsidRPr="00A42EBD">
        <w:rPr>
          <w:i/>
          <w:color w:val="000000" w:themeColor="text1"/>
          <w:sz w:val="24"/>
          <w:lang w:val="vi-VN"/>
        </w:rPr>
        <w:t>/</w:t>
      </w:r>
      <w:r w:rsidR="00335B0A">
        <w:rPr>
          <w:i/>
          <w:color w:val="000000" w:themeColor="text1"/>
          <w:sz w:val="24"/>
        </w:rPr>
        <w:t>6</w:t>
      </w:r>
      <w:r w:rsidRPr="00A42EBD">
        <w:rPr>
          <w:i/>
          <w:color w:val="000000" w:themeColor="text1"/>
          <w:sz w:val="24"/>
          <w:lang w:val="vi-VN"/>
        </w:rPr>
        <w:t>/</w:t>
      </w:r>
      <w:r w:rsidR="00AF461A" w:rsidRPr="00A42EBD">
        <w:rPr>
          <w:i/>
          <w:color w:val="000000" w:themeColor="text1"/>
          <w:sz w:val="24"/>
          <w:lang w:val="vi-VN"/>
        </w:rPr>
        <w:t>2023</w:t>
      </w:r>
      <w:r w:rsidRPr="00A42EBD">
        <w:rPr>
          <w:i/>
          <w:color w:val="000000" w:themeColor="text1"/>
          <w:sz w:val="24"/>
          <w:lang w:val="vi-VN"/>
        </w:rPr>
        <w:t>.</w:t>
      </w:r>
    </w:p>
    <w:p w14:paraId="70CF31F3" w14:textId="77777777" w:rsidR="001C67B2" w:rsidRPr="00A42EBD" w:rsidRDefault="001C67B2" w:rsidP="00060AE9">
      <w:pPr>
        <w:spacing w:before="120" w:after="120" w:line="240" w:lineRule="auto"/>
        <w:ind w:firstLine="720"/>
        <w:jc w:val="both"/>
        <w:rPr>
          <w:color w:val="000000" w:themeColor="text1"/>
          <w:lang w:val="vi-VN"/>
        </w:rPr>
      </w:pPr>
    </w:p>
    <w:p w14:paraId="57BC348E" w14:textId="77777777" w:rsidR="00C82BCF" w:rsidRPr="00A42EBD" w:rsidRDefault="00C82BCF" w:rsidP="00060AE9">
      <w:pPr>
        <w:spacing w:before="120" w:after="120" w:line="240" w:lineRule="auto"/>
        <w:ind w:firstLine="720"/>
        <w:jc w:val="both"/>
        <w:rPr>
          <w:color w:val="000000" w:themeColor="text1"/>
          <w:lang w:val="vi-VN"/>
        </w:rPr>
      </w:pPr>
    </w:p>
    <w:sectPr w:rsidR="00C82BCF" w:rsidRPr="00A42EBD" w:rsidSect="00A75B03">
      <w:headerReference w:type="default" r:id="rId15"/>
      <w:pgSz w:w="11907" w:h="16839" w:code="9"/>
      <w:pgMar w:top="851" w:right="1134" w:bottom="993" w:left="1701" w:header="567" w:footer="62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19642" w14:textId="77777777" w:rsidR="0003330E" w:rsidRDefault="0003330E" w:rsidP="00C82BCF">
      <w:pPr>
        <w:spacing w:after="0" w:line="240" w:lineRule="auto"/>
      </w:pPr>
      <w:r>
        <w:separator/>
      </w:r>
    </w:p>
  </w:endnote>
  <w:endnote w:type="continuationSeparator" w:id="0">
    <w:p w14:paraId="546FAF82" w14:textId="77777777" w:rsidR="0003330E" w:rsidRDefault="0003330E" w:rsidP="00C8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B1704" w14:textId="77777777" w:rsidR="0003330E" w:rsidRDefault="0003330E" w:rsidP="00C82BCF">
      <w:pPr>
        <w:spacing w:after="0" w:line="240" w:lineRule="auto"/>
      </w:pPr>
      <w:r>
        <w:separator/>
      </w:r>
    </w:p>
  </w:footnote>
  <w:footnote w:type="continuationSeparator" w:id="0">
    <w:p w14:paraId="3741295F" w14:textId="77777777" w:rsidR="0003330E" w:rsidRDefault="0003330E" w:rsidP="00C82BCF">
      <w:pPr>
        <w:spacing w:after="0" w:line="240" w:lineRule="auto"/>
      </w:pPr>
      <w:r>
        <w:continuationSeparator/>
      </w:r>
    </w:p>
  </w:footnote>
  <w:footnote w:id="1">
    <w:p w14:paraId="1EEA2213" w14:textId="7B894288" w:rsidR="00560682" w:rsidRDefault="00560682" w:rsidP="00C54E3A">
      <w:pPr>
        <w:pStyle w:val="FootnoteText"/>
      </w:pPr>
      <w:r>
        <w:rPr>
          <w:rStyle w:val="FootnoteReference"/>
        </w:rPr>
        <w:footnoteRef/>
      </w:r>
      <w:r>
        <w:t xml:space="preserve"> Báo cáo được cập nhật đến ngày 2</w:t>
      </w:r>
      <w:r w:rsidR="00BD69FD">
        <w:t>4</w:t>
      </w:r>
      <w:r>
        <w:t>/6/2023.</w:t>
      </w:r>
    </w:p>
  </w:footnote>
  <w:footnote w:id="2">
    <w:p w14:paraId="172A015B" w14:textId="77777777" w:rsidR="00560682" w:rsidRDefault="00560682" w:rsidP="006A76A8">
      <w:pPr>
        <w:pStyle w:val="FootnoteText"/>
      </w:pPr>
      <w:r>
        <w:rPr>
          <w:rStyle w:val="FootnoteReference"/>
        </w:rPr>
        <w:footnoteRef/>
      </w:r>
      <w:r>
        <w:t xml:space="preserve"> Báo cáo toàn cầu hàng tháng, tháng 5/2023.</w:t>
      </w:r>
    </w:p>
  </w:footnote>
  <w:footnote w:id="3">
    <w:p w14:paraId="4182BA5A" w14:textId="77777777" w:rsidR="009E7680" w:rsidRDefault="009E7680" w:rsidP="008C1407">
      <w:pPr>
        <w:pStyle w:val="FootnoteText"/>
        <w:jc w:val="both"/>
      </w:pPr>
      <w:r>
        <w:rPr>
          <w:rStyle w:val="FootnoteReference"/>
        </w:rPr>
        <w:footnoteRef/>
      </w:r>
      <w:r>
        <w:t xml:space="preserve"> </w:t>
      </w:r>
      <w:r w:rsidRPr="008E207E">
        <w:t>Khoảng cách việc làm</w:t>
      </w:r>
      <w:r>
        <w:t xml:space="preserve"> là m</w:t>
      </w:r>
      <w:r w:rsidRPr="008E207E">
        <w:t>ột chỉ số mới do ILO xây dự</w:t>
      </w:r>
      <w:r>
        <w:t>ng,</w:t>
      </w:r>
      <w:r w:rsidRPr="008E207E">
        <w:t xml:space="preserve"> </w:t>
      </w:r>
      <w:r>
        <w:t>phản ánh</w:t>
      </w:r>
      <w:r w:rsidRPr="008E207E">
        <w:t xml:space="preserve"> tất cả những người không có việc</w:t>
      </w:r>
      <w:r>
        <w:t xml:space="preserve"> làm</w:t>
      </w:r>
      <w:r w:rsidRPr="008E207E">
        <w:t xml:space="preserve"> </w:t>
      </w:r>
      <w:r>
        <w:t>mong muốn</w:t>
      </w:r>
      <w:r w:rsidRPr="008E207E">
        <w:t xml:space="preserve"> tìm việc làm. </w:t>
      </w:r>
      <w:r>
        <w:t xml:space="preserve">Chỉ tiêu này cho biết rõ hơn về </w:t>
      </w:r>
      <w:r w:rsidRPr="008E207E">
        <w:t xml:space="preserve">tình hình </w:t>
      </w:r>
      <w:r>
        <w:t xml:space="preserve">việc làm </w:t>
      </w:r>
      <w:r w:rsidRPr="008E207E">
        <w:t>của phụ nữ so với</w:t>
      </w:r>
      <w:r>
        <w:t xml:space="preserve"> chỉ tiêu về</w:t>
      </w:r>
      <w:r w:rsidRPr="008E207E">
        <w:t xml:space="preserve"> tỷ lệ thất </w:t>
      </w:r>
      <w:r w:rsidRPr="00E84CB3">
        <w:rPr>
          <w:spacing w:val="-10"/>
        </w:rPr>
        <w:t>nghiệp vẫn thường được sử dụng. Nguồn: https://www.ilo.org/global/about-the-ilo/</w:t>
      </w:r>
      <w:r>
        <w:rPr>
          <w:spacing w:val="-10"/>
        </w:rPr>
        <w:t>newsroom/news/WCMS_869930/lang-</w:t>
      </w:r>
      <w:r w:rsidRPr="00E84CB3">
        <w:rPr>
          <w:spacing w:val="-10"/>
        </w:rPr>
        <w:t>en/index.htm#:~:text=A%20new%20indicator%20developed%20by%20the%20ILO%2C%20the%20Jobs%20Gap,more%20commonly%20used%20unemployment%20rate</w:t>
      </w:r>
      <w:r w:rsidR="00452618">
        <w:rPr>
          <w:spacing w:val="-10"/>
        </w:rPr>
        <w:t>.</w:t>
      </w:r>
    </w:p>
  </w:footnote>
  <w:footnote w:id="4">
    <w:p w14:paraId="4F33F4AC" w14:textId="270B7DC3" w:rsidR="00560682" w:rsidRDefault="00560682" w:rsidP="003C7376">
      <w:pPr>
        <w:pStyle w:val="FootnoteText"/>
      </w:pPr>
      <w:r>
        <w:rPr>
          <w:rStyle w:val="FootnoteReference"/>
        </w:rPr>
        <w:footnoteRef/>
      </w:r>
      <w:r>
        <w:t xml:space="preserve"> Báo cáo triển vọng kinh tế toàn cầu, tháng 6/2023.</w:t>
      </w:r>
    </w:p>
  </w:footnote>
  <w:footnote w:id="5">
    <w:p w14:paraId="173E4C7E" w14:textId="77777777" w:rsidR="00560682" w:rsidRDefault="00560682" w:rsidP="003C7376">
      <w:pPr>
        <w:pStyle w:val="FootnoteText"/>
      </w:pPr>
      <w:r>
        <w:rPr>
          <w:rStyle w:val="FootnoteReference"/>
        </w:rPr>
        <w:footnoteRef/>
      </w:r>
      <w:r>
        <w:t xml:space="preserve"> Báo cáo chính sách và triển vọng toàn cầu, tháng 4/2023</w:t>
      </w:r>
      <w:r w:rsidR="00DE117E">
        <w:t>.</w:t>
      </w:r>
    </w:p>
  </w:footnote>
  <w:footnote w:id="6">
    <w:p w14:paraId="4C0947BA" w14:textId="77777777" w:rsidR="00560682" w:rsidRDefault="00560682" w:rsidP="003C7376">
      <w:pPr>
        <w:pStyle w:val="FootnoteText"/>
        <w:spacing w:before="60"/>
      </w:pPr>
      <w:r>
        <w:rPr>
          <w:rStyle w:val="FootnoteReference"/>
        </w:rPr>
        <w:footnoteRef/>
      </w:r>
      <w:r>
        <w:t xml:space="preserve"> Nguồn: </w:t>
      </w:r>
      <w:r w:rsidRPr="009251E0">
        <w:t>https://tradingeconomics.com/united-states/forecast</w:t>
      </w:r>
      <w:r>
        <w:t xml:space="preserve"> cập nhật ngày 21/6/2023.</w:t>
      </w:r>
    </w:p>
  </w:footnote>
  <w:footnote w:id="7">
    <w:p w14:paraId="1B118F20" w14:textId="77777777" w:rsidR="00560682" w:rsidRDefault="00560682" w:rsidP="003C7376">
      <w:pPr>
        <w:pStyle w:val="FootnoteText"/>
      </w:pPr>
      <w:r>
        <w:rPr>
          <w:rStyle w:val="FootnoteReference"/>
        </w:rPr>
        <w:footnoteRef/>
      </w:r>
      <w:r>
        <w:t xml:space="preserve"> Nguồn: </w:t>
      </w:r>
      <w:r w:rsidRPr="009251E0">
        <w:t>https://tradingeconomics.com/euro-area/forecast</w:t>
      </w:r>
      <w:r>
        <w:t xml:space="preserve"> cập nhật ngày 21/6/2023.</w:t>
      </w:r>
    </w:p>
  </w:footnote>
  <w:footnote w:id="8">
    <w:p w14:paraId="0BAC8F54" w14:textId="77777777" w:rsidR="00214298" w:rsidRDefault="00214298" w:rsidP="00214298">
      <w:pPr>
        <w:pStyle w:val="FootnoteText"/>
      </w:pPr>
      <w:r>
        <w:rPr>
          <w:rStyle w:val="FootnoteReference"/>
        </w:rPr>
        <w:footnoteRef/>
      </w:r>
      <w:r>
        <w:t xml:space="preserve"> Nguồn: </w:t>
      </w:r>
      <w:hyperlink r:id="rId1" w:history="1">
        <w:r w:rsidRPr="001F4C52">
          <w:rPr>
            <w:rStyle w:val="Hyperlink"/>
          </w:rPr>
          <w:t>https://tradingeconomics.com/japan/forecast</w:t>
        </w:r>
      </w:hyperlink>
      <w:r>
        <w:t xml:space="preserve"> cập nhật ngày 21/6/2023. </w:t>
      </w:r>
    </w:p>
  </w:footnote>
  <w:footnote w:id="9">
    <w:p w14:paraId="76032EAD" w14:textId="77777777" w:rsidR="00D45DD9" w:rsidRDefault="00D45DD9" w:rsidP="00D45DD9">
      <w:pPr>
        <w:pStyle w:val="FootnoteText"/>
      </w:pPr>
      <w:r>
        <w:rPr>
          <w:rStyle w:val="FootnoteReference"/>
        </w:rPr>
        <w:footnoteRef/>
      </w:r>
      <w:r>
        <w:t xml:space="preserve"> Nguồn: </w:t>
      </w:r>
      <w:r w:rsidRPr="009251E0">
        <w:t>https://tradingeconomics.com/china/forecast</w:t>
      </w:r>
      <w:r>
        <w:t xml:space="preserve"> cập nhật ngày 21/6/2023.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804958"/>
      <w:docPartObj>
        <w:docPartGallery w:val="Page Numbers (Top of Page)"/>
        <w:docPartUnique/>
      </w:docPartObj>
    </w:sdtPr>
    <w:sdtEndPr>
      <w:rPr>
        <w:noProof/>
      </w:rPr>
    </w:sdtEndPr>
    <w:sdtContent>
      <w:p w14:paraId="07DAFB55" w14:textId="5BF9FB6E" w:rsidR="00560682" w:rsidRDefault="00A66926">
        <w:pPr>
          <w:pStyle w:val="Header"/>
          <w:jc w:val="center"/>
        </w:pPr>
        <w:r>
          <w:fldChar w:fldCharType="begin"/>
        </w:r>
        <w:r w:rsidR="00560682">
          <w:instrText xml:space="preserve"> PAGE   \* MERGEFORMAT </w:instrText>
        </w:r>
        <w:r>
          <w:fldChar w:fldCharType="separate"/>
        </w:r>
        <w:r w:rsidR="00A077B4">
          <w:rPr>
            <w:noProof/>
          </w:rPr>
          <w:t>16</w:t>
        </w:r>
        <w:r>
          <w:rPr>
            <w:noProof/>
          </w:rPr>
          <w:fldChar w:fldCharType="end"/>
        </w:r>
      </w:p>
    </w:sdtContent>
  </w:sdt>
  <w:p w14:paraId="76E8A007" w14:textId="77777777" w:rsidR="00560682" w:rsidRDefault="00560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968B8"/>
    <w:multiLevelType w:val="multilevel"/>
    <w:tmpl w:val="52DE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CF"/>
    <w:rsid w:val="00000CD3"/>
    <w:rsid w:val="00000F71"/>
    <w:rsid w:val="0000215D"/>
    <w:rsid w:val="00002C64"/>
    <w:rsid w:val="00002DBC"/>
    <w:rsid w:val="0000328D"/>
    <w:rsid w:val="0000338F"/>
    <w:rsid w:val="000054A8"/>
    <w:rsid w:val="000060E5"/>
    <w:rsid w:val="00006629"/>
    <w:rsid w:val="000068E6"/>
    <w:rsid w:val="00007447"/>
    <w:rsid w:val="000100D9"/>
    <w:rsid w:val="00010C18"/>
    <w:rsid w:val="00011B2F"/>
    <w:rsid w:val="00011B3E"/>
    <w:rsid w:val="00012C05"/>
    <w:rsid w:val="00013615"/>
    <w:rsid w:val="00013F20"/>
    <w:rsid w:val="0001449B"/>
    <w:rsid w:val="000149C1"/>
    <w:rsid w:val="00016EFE"/>
    <w:rsid w:val="00017DBB"/>
    <w:rsid w:val="0002064F"/>
    <w:rsid w:val="00020CA2"/>
    <w:rsid w:val="00023FDD"/>
    <w:rsid w:val="000257C1"/>
    <w:rsid w:val="00025F49"/>
    <w:rsid w:val="00026DCC"/>
    <w:rsid w:val="00027543"/>
    <w:rsid w:val="00027920"/>
    <w:rsid w:val="00027C41"/>
    <w:rsid w:val="000301DF"/>
    <w:rsid w:val="00031EAB"/>
    <w:rsid w:val="000329F5"/>
    <w:rsid w:val="00032ED7"/>
    <w:rsid w:val="0003330E"/>
    <w:rsid w:val="00034232"/>
    <w:rsid w:val="00034285"/>
    <w:rsid w:val="00034A2D"/>
    <w:rsid w:val="00034C7A"/>
    <w:rsid w:val="000350E1"/>
    <w:rsid w:val="0003541E"/>
    <w:rsid w:val="00035448"/>
    <w:rsid w:val="000375E7"/>
    <w:rsid w:val="00037B6A"/>
    <w:rsid w:val="00040B63"/>
    <w:rsid w:val="0004132C"/>
    <w:rsid w:val="00042675"/>
    <w:rsid w:val="00042FB4"/>
    <w:rsid w:val="000433DB"/>
    <w:rsid w:val="00043732"/>
    <w:rsid w:val="0004389A"/>
    <w:rsid w:val="00046190"/>
    <w:rsid w:val="000462D5"/>
    <w:rsid w:val="000463AE"/>
    <w:rsid w:val="00046CB1"/>
    <w:rsid w:val="00046FE3"/>
    <w:rsid w:val="00047325"/>
    <w:rsid w:val="00047814"/>
    <w:rsid w:val="000479FB"/>
    <w:rsid w:val="00051E55"/>
    <w:rsid w:val="0005548A"/>
    <w:rsid w:val="000557B7"/>
    <w:rsid w:val="00055894"/>
    <w:rsid w:val="00055C7F"/>
    <w:rsid w:val="00057282"/>
    <w:rsid w:val="00057523"/>
    <w:rsid w:val="000577A5"/>
    <w:rsid w:val="00060A59"/>
    <w:rsid w:val="00060AE9"/>
    <w:rsid w:val="00060D74"/>
    <w:rsid w:val="00060D92"/>
    <w:rsid w:val="00061033"/>
    <w:rsid w:val="000650E3"/>
    <w:rsid w:val="00066BD4"/>
    <w:rsid w:val="00067795"/>
    <w:rsid w:val="000679CC"/>
    <w:rsid w:val="00067DCD"/>
    <w:rsid w:val="000713BD"/>
    <w:rsid w:val="00072CA4"/>
    <w:rsid w:val="00073F96"/>
    <w:rsid w:val="000744AC"/>
    <w:rsid w:val="000747E4"/>
    <w:rsid w:val="00074E24"/>
    <w:rsid w:val="000761E4"/>
    <w:rsid w:val="000778D1"/>
    <w:rsid w:val="0007793B"/>
    <w:rsid w:val="00081AF2"/>
    <w:rsid w:val="0008427C"/>
    <w:rsid w:val="00084B31"/>
    <w:rsid w:val="0008512E"/>
    <w:rsid w:val="00085FA5"/>
    <w:rsid w:val="0008658E"/>
    <w:rsid w:val="00086DC4"/>
    <w:rsid w:val="00086EDD"/>
    <w:rsid w:val="00087802"/>
    <w:rsid w:val="00090039"/>
    <w:rsid w:val="0009024E"/>
    <w:rsid w:val="00093F80"/>
    <w:rsid w:val="000940EB"/>
    <w:rsid w:val="000945A4"/>
    <w:rsid w:val="000957F2"/>
    <w:rsid w:val="00095BC2"/>
    <w:rsid w:val="00095EE6"/>
    <w:rsid w:val="00096FEB"/>
    <w:rsid w:val="00097072"/>
    <w:rsid w:val="000973A2"/>
    <w:rsid w:val="00097A12"/>
    <w:rsid w:val="000A0505"/>
    <w:rsid w:val="000A0931"/>
    <w:rsid w:val="000A0F11"/>
    <w:rsid w:val="000A2A53"/>
    <w:rsid w:val="000A31EB"/>
    <w:rsid w:val="000A3701"/>
    <w:rsid w:val="000A3DBD"/>
    <w:rsid w:val="000A4035"/>
    <w:rsid w:val="000A4322"/>
    <w:rsid w:val="000A43AA"/>
    <w:rsid w:val="000A44AD"/>
    <w:rsid w:val="000A4D70"/>
    <w:rsid w:val="000A614B"/>
    <w:rsid w:val="000A669D"/>
    <w:rsid w:val="000A6E2C"/>
    <w:rsid w:val="000A70CF"/>
    <w:rsid w:val="000B15BC"/>
    <w:rsid w:val="000B1C18"/>
    <w:rsid w:val="000B2CC7"/>
    <w:rsid w:val="000B56EF"/>
    <w:rsid w:val="000B57B7"/>
    <w:rsid w:val="000B588E"/>
    <w:rsid w:val="000B6A29"/>
    <w:rsid w:val="000B6AAB"/>
    <w:rsid w:val="000B787E"/>
    <w:rsid w:val="000C374E"/>
    <w:rsid w:val="000C38C6"/>
    <w:rsid w:val="000C43BD"/>
    <w:rsid w:val="000C4AE0"/>
    <w:rsid w:val="000C4B28"/>
    <w:rsid w:val="000C54E8"/>
    <w:rsid w:val="000C5A98"/>
    <w:rsid w:val="000C5B3A"/>
    <w:rsid w:val="000C5BFD"/>
    <w:rsid w:val="000C729C"/>
    <w:rsid w:val="000C76B8"/>
    <w:rsid w:val="000D056A"/>
    <w:rsid w:val="000D0EF9"/>
    <w:rsid w:val="000D16FA"/>
    <w:rsid w:val="000D1B35"/>
    <w:rsid w:val="000D2BF3"/>
    <w:rsid w:val="000D3A3C"/>
    <w:rsid w:val="000D4D9A"/>
    <w:rsid w:val="000D5033"/>
    <w:rsid w:val="000D5768"/>
    <w:rsid w:val="000D5E1B"/>
    <w:rsid w:val="000D5FC6"/>
    <w:rsid w:val="000D773F"/>
    <w:rsid w:val="000E0E27"/>
    <w:rsid w:val="000E179C"/>
    <w:rsid w:val="000E5502"/>
    <w:rsid w:val="000E55C8"/>
    <w:rsid w:val="000E78F2"/>
    <w:rsid w:val="000E7CDC"/>
    <w:rsid w:val="000F0906"/>
    <w:rsid w:val="000F0C62"/>
    <w:rsid w:val="000F1382"/>
    <w:rsid w:val="000F1B05"/>
    <w:rsid w:val="000F26A4"/>
    <w:rsid w:val="000F2EDE"/>
    <w:rsid w:val="000F357D"/>
    <w:rsid w:val="000F424D"/>
    <w:rsid w:val="000F4FC8"/>
    <w:rsid w:val="000F502E"/>
    <w:rsid w:val="000F5C3A"/>
    <w:rsid w:val="000F6D94"/>
    <w:rsid w:val="0010086F"/>
    <w:rsid w:val="00101332"/>
    <w:rsid w:val="00101C16"/>
    <w:rsid w:val="00102193"/>
    <w:rsid w:val="00102B14"/>
    <w:rsid w:val="00102B39"/>
    <w:rsid w:val="0010319F"/>
    <w:rsid w:val="00103D7F"/>
    <w:rsid w:val="00103EFB"/>
    <w:rsid w:val="00104E5E"/>
    <w:rsid w:val="001060C5"/>
    <w:rsid w:val="00106FED"/>
    <w:rsid w:val="00107211"/>
    <w:rsid w:val="00107830"/>
    <w:rsid w:val="001100D5"/>
    <w:rsid w:val="00110843"/>
    <w:rsid w:val="00110C08"/>
    <w:rsid w:val="00111571"/>
    <w:rsid w:val="0011169E"/>
    <w:rsid w:val="00111F98"/>
    <w:rsid w:val="00113227"/>
    <w:rsid w:val="0011339D"/>
    <w:rsid w:val="00113485"/>
    <w:rsid w:val="00113B20"/>
    <w:rsid w:val="00114946"/>
    <w:rsid w:val="0011505E"/>
    <w:rsid w:val="00116DA4"/>
    <w:rsid w:val="00116E8C"/>
    <w:rsid w:val="00116FB9"/>
    <w:rsid w:val="0011719E"/>
    <w:rsid w:val="00121C9E"/>
    <w:rsid w:val="00122C0A"/>
    <w:rsid w:val="00122F16"/>
    <w:rsid w:val="00122F4D"/>
    <w:rsid w:val="00123818"/>
    <w:rsid w:val="00124F60"/>
    <w:rsid w:val="00125688"/>
    <w:rsid w:val="001268A3"/>
    <w:rsid w:val="00127D28"/>
    <w:rsid w:val="00130148"/>
    <w:rsid w:val="00130559"/>
    <w:rsid w:val="0013076E"/>
    <w:rsid w:val="001315A6"/>
    <w:rsid w:val="00131A48"/>
    <w:rsid w:val="0013268E"/>
    <w:rsid w:val="001327DD"/>
    <w:rsid w:val="0013290F"/>
    <w:rsid w:val="00132D00"/>
    <w:rsid w:val="00133622"/>
    <w:rsid w:val="00133A86"/>
    <w:rsid w:val="0013479B"/>
    <w:rsid w:val="00134970"/>
    <w:rsid w:val="00134A51"/>
    <w:rsid w:val="0013507A"/>
    <w:rsid w:val="00135084"/>
    <w:rsid w:val="00135B85"/>
    <w:rsid w:val="00135E31"/>
    <w:rsid w:val="00135F3F"/>
    <w:rsid w:val="00136722"/>
    <w:rsid w:val="0013697E"/>
    <w:rsid w:val="00136B30"/>
    <w:rsid w:val="00137996"/>
    <w:rsid w:val="001379B6"/>
    <w:rsid w:val="00137E0C"/>
    <w:rsid w:val="0014121E"/>
    <w:rsid w:val="00142FD0"/>
    <w:rsid w:val="00143E04"/>
    <w:rsid w:val="0014448C"/>
    <w:rsid w:val="00144492"/>
    <w:rsid w:val="001448F7"/>
    <w:rsid w:val="00144F78"/>
    <w:rsid w:val="00145453"/>
    <w:rsid w:val="0014548E"/>
    <w:rsid w:val="00147732"/>
    <w:rsid w:val="001479E6"/>
    <w:rsid w:val="00150093"/>
    <w:rsid w:val="001507DD"/>
    <w:rsid w:val="00150A92"/>
    <w:rsid w:val="00151022"/>
    <w:rsid w:val="001514B6"/>
    <w:rsid w:val="0015180F"/>
    <w:rsid w:val="001526DF"/>
    <w:rsid w:val="001527C0"/>
    <w:rsid w:val="00152846"/>
    <w:rsid w:val="00152AE8"/>
    <w:rsid w:val="00153815"/>
    <w:rsid w:val="0015517C"/>
    <w:rsid w:val="0015518E"/>
    <w:rsid w:val="0015670E"/>
    <w:rsid w:val="001571A9"/>
    <w:rsid w:val="001578BB"/>
    <w:rsid w:val="00157A0A"/>
    <w:rsid w:val="001601B3"/>
    <w:rsid w:val="00160269"/>
    <w:rsid w:val="001626DF"/>
    <w:rsid w:val="0016343A"/>
    <w:rsid w:val="00163824"/>
    <w:rsid w:val="00165CD8"/>
    <w:rsid w:val="001661FD"/>
    <w:rsid w:val="00170108"/>
    <w:rsid w:val="00171769"/>
    <w:rsid w:val="001726E1"/>
    <w:rsid w:val="001736F0"/>
    <w:rsid w:val="0017443D"/>
    <w:rsid w:val="001755C6"/>
    <w:rsid w:val="0017664E"/>
    <w:rsid w:val="00176A9D"/>
    <w:rsid w:val="00176CA2"/>
    <w:rsid w:val="00176D78"/>
    <w:rsid w:val="0017716B"/>
    <w:rsid w:val="001809CF"/>
    <w:rsid w:val="00180A8C"/>
    <w:rsid w:val="00181C64"/>
    <w:rsid w:val="00182CF7"/>
    <w:rsid w:val="00183856"/>
    <w:rsid w:val="00183D7C"/>
    <w:rsid w:val="00183E2D"/>
    <w:rsid w:val="001847BF"/>
    <w:rsid w:val="0018584E"/>
    <w:rsid w:val="00187368"/>
    <w:rsid w:val="0019046B"/>
    <w:rsid w:val="00190D5B"/>
    <w:rsid w:val="0019192D"/>
    <w:rsid w:val="0019267D"/>
    <w:rsid w:val="001927E7"/>
    <w:rsid w:val="00193B4B"/>
    <w:rsid w:val="001973E5"/>
    <w:rsid w:val="00197F23"/>
    <w:rsid w:val="001A00C0"/>
    <w:rsid w:val="001A0AD8"/>
    <w:rsid w:val="001A0D74"/>
    <w:rsid w:val="001A113A"/>
    <w:rsid w:val="001A3838"/>
    <w:rsid w:val="001A4621"/>
    <w:rsid w:val="001A54D7"/>
    <w:rsid w:val="001A63A8"/>
    <w:rsid w:val="001A6CBA"/>
    <w:rsid w:val="001A6F22"/>
    <w:rsid w:val="001A71BB"/>
    <w:rsid w:val="001A7778"/>
    <w:rsid w:val="001A7D2D"/>
    <w:rsid w:val="001A7FAB"/>
    <w:rsid w:val="001B1675"/>
    <w:rsid w:val="001B169C"/>
    <w:rsid w:val="001B1DE9"/>
    <w:rsid w:val="001B22E6"/>
    <w:rsid w:val="001B2C12"/>
    <w:rsid w:val="001B3AD6"/>
    <w:rsid w:val="001B3B78"/>
    <w:rsid w:val="001B3C94"/>
    <w:rsid w:val="001B5C69"/>
    <w:rsid w:val="001B6331"/>
    <w:rsid w:val="001B64FF"/>
    <w:rsid w:val="001B677F"/>
    <w:rsid w:val="001B71C2"/>
    <w:rsid w:val="001C00C4"/>
    <w:rsid w:val="001C3FFB"/>
    <w:rsid w:val="001C4EEC"/>
    <w:rsid w:val="001C574D"/>
    <w:rsid w:val="001C590F"/>
    <w:rsid w:val="001C67B2"/>
    <w:rsid w:val="001C7592"/>
    <w:rsid w:val="001C76C2"/>
    <w:rsid w:val="001C7DC7"/>
    <w:rsid w:val="001C7E84"/>
    <w:rsid w:val="001D176E"/>
    <w:rsid w:val="001D19F8"/>
    <w:rsid w:val="001D3B42"/>
    <w:rsid w:val="001D4001"/>
    <w:rsid w:val="001D47CE"/>
    <w:rsid w:val="001D4A34"/>
    <w:rsid w:val="001D4D23"/>
    <w:rsid w:val="001D4E3F"/>
    <w:rsid w:val="001D4F67"/>
    <w:rsid w:val="001D6322"/>
    <w:rsid w:val="001D63E1"/>
    <w:rsid w:val="001D67F3"/>
    <w:rsid w:val="001D71C5"/>
    <w:rsid w:val="001D789D"/>
    <w:rsid w:val="001E0529"/>
    <w:rsid w:val="001E0F95"/>
    <w:rsid w:val="001E305B"/>
    <w:rsid w:val="001E320B"/>
    <w:rsid w:val="001E3CF1"/>
    <w:rsid w:val="001E68FA"/>
    <w:rsid w:val="001E6B90"/>
    <w:rsid w:val="001E6EF1"/>
    <w:rsid w:val="001E77D2"/>
    <w:rsid w:val="001E7D0A"/>
    <w:rsid w:val="001E7E94"/>
    <w:rsid w:val="001F08F7"/>
    <w:rsid w:val="001F0A52"/>
    <w:rsid w:val="001F0BCC"/>
    <w:rsid w:val="001F120E"/>
    <w:rsid w:val="001F1298"/>
    <w:rsid w:val="001F16F0"/>
    <w:rsid w:val="001F223B"/>
    <w:rsid w:val="001F2249"/>
    <w:rsid w:val="001F2884"/>
    <w:rsid w:val="001F30C3"/>
    <w:rsid w:val="001F319A"/>
    <w:rsid w:val="001F34D4"/>
    <w:rsid w:val="001F34F0"/>
    <w:rsid w:val="001F4195"/>
    <w:rsid w:val="001F4213"/>
    <w:rsid w:val="001F571E"/>
    <w:rsid w:val="001F58A7"/>
    <w:rsid w:val="001F69F2"/>
    <w:rsid w:val="001F6A3B"/>
    <w:rsid w:val="001F6F8F"/>
    <w:rsid w:val="001F709C"/>
    <w:rsid w:val="001F7620"/>
    <w:rsid w:val="002007DC"/>
    <w:rsid w:val="0020095F"/>
    <w:rsid w:val="002020F2"/>
    <w:rsid w:val="0020295C"/>
    <w:rsid w:val="00202C19"/>
    <w:rsid w:val="00202C5A"/>
    <w:rsid w:val="00204030"/>
    <w:rsid w:val="00204A17"/>
    <w:rsid w:val="0020556F"/>
    <w:rsid w:val="0020593C"/>
    <w:rsid w:val="00205A74"/>
    <w:rsid w:val="0020645B"/>
    <w:rsid w:val="00207455"/>
    <w:rsid w:val="002106F4"/>
    <w:rsid w:val="00211EB7"/>
    <w:rsid w:val="002135E3"/>
    <w:rsid w:val="00213A16"/>
    <w:rsid w:val="00213DB6"/>
    <w:rsid w:val="00214298"/>
    <w:rsid w:val="0021440C"/>
    <w:rsid w:val="00217758"/>
    <w:rsid w:val="00217FA7"/>
    <w:rsid w:val="00220EBE"/>
    <w:rsid w:val="00222411"/>
    <w:rsid w:val="0022245B"/>
    <w:rsid w:val="002230C8"/>
    <w:rsid w:val="002232D9"/>
    <w:rsid w:val="00223FAB"/>
    <w:rsid w:val="002245EA"/>
    <w:rsid w:val="0022493B"/>
    <w:rsid w:val="002252D2"/>
    <w:rsid w:val="00227A5E"/>
    <w:rsid w:val="00230D85"/>
    <w:rsid w:val="002311BF"/>
    <w:rsid w:val="00232339"/>
    <w:rsid w:val="0023263D"/>
    <w:rsid w:val="00232967"/>
    <w:rsid w:val="00232E8A"/>
    <w:rsid w:val="00234812"/>
    <w:rsid w:val="00236B42"/>
    <w:rsid w:val="0023703D"/>
    <w:rsid w:val="0023770A"/>
    <w:rsid w:val="002420B0"/>
    <w:rsid w:val="00242448"/>
    <w:rsid w:val="00242A53"/>
    <w:rsid w:val="002446EC"/>
    <w:rsid w:val="00244A26"/>
    <w:rsid w:val="00246902"/>
    <w:rsid w:val="0024699F"/>
    <w:rsid w:val="00250143"/>
    <w:rsid w:val="00250D7F"/>
    <w:rsid w:val="00251347"/>
    <w:rsid w:val="00251812"/>
    <w:rsid w:val="00251E46"/>
    <w:rsid w:val="00252273"/>
    <w:rsid w:val="00253471"/>
    <w:rsid w:val="00254777"/>
    <w:rsid w:val="002555E4"/>
    <w:rsid w:val="002561BB"/>
    <w:rsid w:val="0025621F"/>
    <w:rsid w:val="002565E2"/>
    <w:rsid w:val="002568C4"/>
    <w:rsid w:val="00256C76"/>
    <w:rsid w:val="00260008"/>
    <w:rsid w:val="00260B78"/>
    <w:rsid w:val="0026183A"/>
    <w:rsid w:val="00264942"/>
    <w:rsid w:val="002654F0"/>
    <w:rsid w:val="0026588C"/>
    <w:rsid w:val="00265ADC"/>
    <w:rsid w:val="00265F9B"/>
    <w:rsid w:val="00266BBC"/>
    <w:rsid w:val="00267471"/>
    <w:rsid w:val="00267FC5"/>
    <w:rsid w:val="002700C7"/>
    <w:rsid w:val="002725BF"/>
    <w:rsid w:val="00272CC3"/>
    <w:rsid w:val="00273C92"/>
    <w:rsid w:val="0027430E"/>
    <w:rsid w:val="0027457E"/>
    <w:rsid w:val="00274AB9"/>
    <w:rsid w:val="00276772"/>
    <w:rsid w:val="00277393"/>
    <w:rsid w:val="002775BB"/>
    <w:rsid w:val="002776CA"/>
    <w:rsid w:val="002777D6"/>
    <w:rsid w:val="00277FC7"/>
    <w:rsid w:val="00282487"/>
    <w:rsid w:val="0028249C"/>
    <w:rsid w:val="002832BD"/>
    <w:rsid w:val="002853CA"/>
    <w:rsid w:val="00285FEA"/>
    <w:rsid w:val="00286A7C"/>
    <w:rsid w:val="00290383"/>
    <w:rsid w:val="00290510"/>
    <w:rsid w:val="00290547"/>
    <w:rsid w:val="00290853"/>
    <w:rsid w:val="00293162"/>
    <w:rsid w:val="00293C46"/>
    <w:rsid w:val="002947CA"/>
    <w:rsid w:val="002948F7"/>
    <w:rsid w:val="00295141"/>
    <w:rsid w:val="00296A81"/>
    <w:rsid w:val="002A03F8"/>
    <w:rsid w:val="002A0A40"/>
    <w:rsid w:val="002A0F7B"/>
    <w:rsid w:val="002A363F"/>
    <w:rsid w:val="002A39E6"/>
    <w:rsid w:val="002A474D"/>
    <w:rsid w:val="002A51B5"/>
    <w:rsid w:val="002A5AC5"/>
    <w:rsid w:val="002A5E6A"/>
    <w:rsid w:val="002A655C"/>
    <w:rsid w:val="002A6D45"/>
    <w:rsid w:val="002A6D47"/>
    <w:rsid w:val="002B0970"/>
    <w:rsid w:val="002B16AD"/>
    <w:rsid w:val="002B174E"/>
    <w:rsid w:val="002B1D32"/>
    <w:rsid w:val="002B244B"/>
    <w:rsid w:val="002B4EC9"/>
    <w:rsid w:val="002B5475"/>
    <w:rsid w:val="002B6677"/>
    <w:rsid w:val="002B736F"/>
    <w:rsid w:val="002B7C6D"/>
    <w:rsid w:val="002B7CE5"/>
    <w:rsid w:val="002C3160"/>
    <w:rsid w:val="002C335A"/>
    <w:rsid w:val="002C387B"/>
    <w:rsid w:val="002C43B2"/>
    <w:rsid w:val="002C6974"/>
    <w:rsid w:val="002C6F2D"/>
    <w:rsid w:val="002C73E4"/>
    <w:rsid w:val="002C7592"/>
    <w:rsid w:val="002C77C3"/>
    <w:rsid w:val="002D1592"/>
    <w:rsid w:val="002D19AE"/>
    <w:rsid w:val="002D25CD"/>
    <w:rsid w:val="002D2856"/>
    <w:rsid w:val="002D4F77"/>
    <w:rsid w:val="002D5364"/>
    <w:rsid w:val="002D5F6C"/>
    <w:rsid w:val="002D720B"/>
    <w:rsid w:val="002D7797"/>
    <w:rsid w:val="002E0491"/>
    <w:rsid w:val="002E075E"/>
    <w:rsid w:val="002E0843"/>
    <w:rsid w:val="002E08CF"/>
    <w:rsid w:val="002E0FBC"/>
    <w:rsid w:val="002E18B1"/>
    <w:rsid w:val="002E3083"/>
    <w:rsid w:val="002E3609"/>
    <w:rsid w:val="002E3722"/>
    <w:rsid w:val="002E3C0F"/>
    <w:rsid w:val="002E4764"/>
    <w:rsid w:val="002E4C81"/>
    <w:rsid w:val="002E515E"/>
    <w:rsid w:val="002E52F4"/>
    <w:rsid w:val="002E5526"/>
    <w:rsid w:val="002E581A"/>
    <w:rsid w:val="002E6869"/>
    <w:rsid w:val="002E6CA2"/>
    <w:rsid w:val="002E7E99"/>
    <w:rsid w:val="002F09EF"/>
    <w:rsid w:val="002F232D"/>
    <w:rsid w:val="002F2700"/>
    <w:rsid w:val="002F3316"/>
    <w:rsid w:val="002F345B"/>
    <w:rsid w:val="002F46F6"/>
    <w:rsid w:val="002F474B"/>
    <w:rsid w:val="002F4FA0"/>
    <w:rsid w:val="002F6B92"/>
    <w:rsid w:val="002F7278"/>
    <w:rsid w:val="002F7771"/>
    <w:rsid w:val="002F7984"/>
    <w:rsid w:val="003001AC"/>
    <w:rsid w:val="0030056F"/>
    <w:rsid w:val="003026EB"/>
    <w:rsid w:val="003027AA"/>
    <w:rsid w:val="003034B8"/>
    <w:rsid w:val="00305129"/>
    <w:rsid w:val="00305FD1"/>
    <w:rsid w:val="003061BA"/>
    <w:rsid w:val="0030630B"/>
    <w:rsid w:val="003073D0"/>
    <w:rsid w:val="00310921"/>
    <w:rsid w:val="00311B84"/>
    <w:rsid w:val="0031376D"/>
    <w:rsid w:val="003152EA"/>
    <w:rsid w:val="0031585F"/>
    <w:rsid w:val="00315E16"/>
    <w:rsid w:val="003161E8"/>
    <w:rsid w:val="0031753C"/>
    <w:rsid w:val="00317E37"/>
    <w:rsid w:val="00317EB6"/>
    <w:rsid w:val="0032012D"/>
    <w:rsid w:val="00320632"/>
    <w:rsid w:val="00320CA7"/>
    <w:rsid w:val="00321C59"/>
    <w:rsid w:val="00321F15"/>
    <w:rsid w:val="003224D0"/>
    <w:rsid w:val="003225A9"/>
    <w:rsid w:val="003241B1"/>
    <w:rsid w:val="00326819"/>
    <w:rsid w:val="003274BA"/>
    <w:rsid w:val="0032785B"/>
    <w:rsid w:val="00331795"/>
    <w:rsid w:val="00332F4B"/>
    <w:rsid w:val="00333560"/>
    <w:rsid w:val="00334288"/>
    <w:rsid w:val="0033471C"/>
    <w:rsid w:val="00334BFC"/>
    <w:rsid w:val="00335B0A"/>
    <w:rsid w:val="00335DE6"/>
    <w:rsid w:val="00335E6A"/>
    <w:rsid w:val="00335FBA"/>
    <w:rsid w:val="00340C8D"/>
    <w:rsid w:val="00340D1D"/>
    <w:rsid w:val="003412AB"/>
    <w:rsid w:val="00341E68"/>
    <w:rsid w:val="00341EB0"/>
    <w:rsid w:val="00342740"/>
    <w:rsid w:val="003431C9"/>
    <w:rsid w:val="003444C6"/>
    <w:rsid w:val="00344B37"/>
    <w:rsid w:val="0034552D"/>
    <w:rsid w:val="003467DA"/>
    <w:rsid w:val="00346D29"/>
    <w:rsid w:val="0034722A"/>
    <w:rsid w:val="0034741A"/>
    <w:rsid w:val="00347690"/>
    <w:rsid w:val="00347B0C"/>
    <w:rsid w:val="003511F7"/>
    <w:rsid w:val="00353219"/>
    <w:rsid w:val="003543BD"/>
    <w:rsid w:val="0035526E"/>
    <w:rsid w:val="003565DC"/>
    <w:rsid w:val="0036036C"/>
    <w:rsid w:val="00360AAD"/>
    <w:rsid w:val="0036255D"/>
    <w:rsid w:val="00364BCA"/>
    <w:rsid w:val="00364C22"/>
    <w:rsid w:val="00364C2A"/>
    <w:rsid w:val="003654EE"/>
    <w:rsid w:val="003661EF"/>
    <w:rsid w:val="00366FE1"/>
    <w:rsid w:val="00370B5D"/>
    <w:rsid w:val="00372105"/>
    <w:rsid w:val="003726DA"/>
    <w:rsid w:val="00372C98"/>
    <w:rsid w:val="00372FAA"/>
    <w:rsid w:val="00373D5E"/>
    <w:rsid w:val="003746E3"/>
    <w:rsid w:val="00375CB5"/>
    <w:rsid w:val="00377D4A"/>
    <w:rsid w:val="003806BD"/>
    <w:rsid w:val="003815C6"/>
    <w:rsid w:val="0038179F"/>
    <w:rsid w:val="00381E01"/>
    <w:rsid w:val="0038213E"/>
    <w:rsid w:val="003825A1"/>
    <w:rsid w:val="00382712"/>
    <w:rsid w:val="00383550"/>
    <w:rsid w:val="00383667"/>
    <w:rsid w:val="0038497F"/>
    <w:rsid w:val="003849FC"/>
    <w:rsid w:val="003850CB"/>
    <w:rsid w:val="0038599F"/>
    <w:rsid w:val="0038612A"/>
    <w:rsid w:val="0038684B"/>
    <w:rsid w:val="003876CD"/>
    <w:rsid w:val="003905D0"/>
    <w:rsid w:val="003915B7"/>
    <w:rsid w:val="003921A7"/>
    <w:rsid w:val="0039278A"/>
    <w:rsid w:val="00392D4A"/>
    <w:rsid w:val="00393E0A"/>
    <w:rsid w:val="00393E79"/>
    <w:rsid w:val="003944CF"/>
    <w:rsid w:val="00395714"/>
    <w:rsid w:val="00395B75"/>
    <w:rsid w:val="00396D56"/>
    <w:rsid w:val="00397CAC"/>
    <w:rsid w:val="003A00F6"/>
    <w:rsid w:val="003A13A0"/>
    <w:rsid w:val="003A2353"/>
    <w:rsid w:val="003A3456"/>
    <w:rsid w:val="003A3E8E"/>
    <w:rsid w:val="003A42DC"/>
    <w:rsid w:val="003A449D"/>
    <w:rsid w:val="003A47B0"/>
    <w:rsid w:val="003A6445"/>
    <w:rsid w:val="003A65BB"/>
    <w:rsid w:val="003A6747"/>
    <w:rsid w:val="003A6D1C"/>
    <w:rsid w:val="003A6D76"/>
    <w:rsid w:val="003A7FD4"/>
    <w:rsid w:val="003B03D9"/>
    <w:rsid w:val="003B058E"/>
    <w:rsid w:val="003B0FB3"/>
    <w:rsid w:val="003B1CB7"/>
    <w:rsid w:val="003B1FDF"/>
    <w:rsid w:val="003B203B"/>
    <w:rsid w:val="003B325B"/>
    <w:rsid w:val="003B3C7C"/>
    <w:rsid w:val="003B4CA2"/>
    <w:rsid w:val="003B5535"/>
    <w:rsid w:val="003B5777"/>
    <w:rsid w:val="003B59F2"/>
    <w:rsid w:val="003B63B8"/>
    <w:rsid w:val="003B6A32"/>
    <w:rsid w:val="003B6C62"/>
    <w:rsid w:val="003B71A5"/>
    <w:rsid w:val="003B7F66"/>
    <w:rsid w:val="003C05FB"/>
    <w:rsid w:val="003C0EFF"/>
    <w:rsid w:val="003C1AE7"/>
    <w:rsid w:val="003C2102"/>
    <w:rsid w:val="003C21C5"/>
    <w:rsid w:val="003C30BD"/>
    <w:rsid w:val="003C57B7"/>
    <w:rsid w:val="003C5E03"/>
    <w:rsid w:val="003C69B1"/>
    <w:rsid w:val="003C7376"/>
    <w:rsid w:val="003C7DE9"/>
    <w:rsid w:val="003D0742"/>
    <w:rsid w:val="003D0D23"/>
    <w:rsid w:val="003D0D72"/>
    <w:rsid w:val="003D1F8F"/>
    <w:rsid w:val="003D27E8"/>
    <w:rsid w:val="003D3A57"/>
    <w:rsid w:val="003D4765"/>
    <w:rsid w:val="003D59DE"/>
    <w:rsid w:val="003D5F02"/>
    <w:rsid w:val="003D68F6"/>
    <w:rsid w:val="003D71ED"/>
    <w:rsid w:val="003D724E"/>
    <w:rsid w:val="003E0CDD"/>
    <w:rsid w:val="003E14F3"/>
    <w:rsid w:val="003E1767"/>
    <w:rsid w:val="003E18F6"/>
    <w:rsid w:val="003E19BD"/>
    <w:rsid w:val="003E20D7"/>
    <w:rsid w:val="003E2608"/>
    <w:rsid w:val="003E26C1"/>
    <w:rsid w:val="003E3296"/>
    <w:rsid w:val="003E4D59"/>
    <w:rsid w:val="003E4E15"/>
    <w:rsid w:val="003E57B7"/>
    <w:rsid w:val="003E60EB"/>
    <w:rsid w:val="003F115A"/>
    <w:rsid w:val="003F26F8"/>
    <w:rsid w:val="003F3560"/>
    <w:rsid w:val="003F428B"/>
    <w:rsid w:val="003F4FA0"/>
    <w:rsid w:val="003F6023"/>
    <w:rsid w:val="003F72C3"/>
    <w:rsid w:val="0040017D"/>
    <w:rsid w:val="004039AF"/>
    <w:rsid w:val="00403EE2"/>
    <w:rsid w:val="00404629"/>
    <w:rsid w:val="0040487B"/>
    <w:rsid w:val="00404B2E"/>
    <w:rsid w:val="00404D13"/>
    <w:rsid w:val="00404D4A"/>
    <w:rsid w:val="004069E4"/>
    <w:rsid w:val="00406AAE"/>
    <w:rsid w:val="00407352"/>
    <w:rsid w:val="00407480"/>
    <w:rsid w:val="004077E5"/>
    <w:rsid w:val="00410E2E"/>
    <w:rsid w:val="00411767"/>
    <w:rsid w:val="004120F3"/>
    <w:rsid w:val="004124A4"/>
    <w:rsid w:val="00414E27"/>
    <w:rsid w:val="00415920"/>
    <w:rsid w:val="00415B23"/>
    <w:rsid w:val="004160E1"/>
    <w:rsid w:val="00416D8A"/>
    <w:rsid w:val="0041709A"/>
    <w:rsid w:val="00417424"/>
    <w:rsid w:val="004216D3"/>
    <w:rsid w:val="004218B0"/>
    <w:rsid w:val="00422909"/>
    <w:rsid w:val="00423F54"/>
    <w:rsid w:val="0042517F"/>
    <w:rsid w:val="0042556B"/>
    <w:rsid w:val="0042583C"/>
    <w:rsid w:val="004258C1"/>
    <w:rsid w:val="00427236"/>
    <w:rsid w:val="00427C39"/>
    <w:rsid w:val="00430442"/>
    <w:rsid w:val="004309EE"/>
    <w:rsid w:val="00430F13"/>
    <w:rsid w:val="0043199D"/>
    <w:rsid w:val="004323B6"/>
    <w:rsid w:val="00433539"/>
    <w:rsid w:val="00433777"/>
    <w:rsid w:val="00433996"/>
    <w:rsid w:val="00434003"/>
    <w:rsid w:val="00434D23"/>
    <w:rsid w:val="004355CA"/>
    <w:rsid w:val="004366EE"/>
    <w:rsid w:val="00436CB5"/>
    <w:rsid w:val="00436E55"/>
    <w:rsid w:val="004373CC"/>
    <w:rsid w:val="004403C3"/>
    <w:rsid w:val="00440516"/>
    <w:rsid w:val="00442D71"/>
    <w:rsid w:val="00442E74"/>
    <w:rsid w:val="00444E6D"/>
    <w:rsid w:val="00445183"/>
    <w:rsid w:val="00445B95"/>
    <w:rsid w:val="00445D32"/>
    <w:rsid w:val="0044704E"/>
    <w:rsid w:val="00450521"/>
    <w:rsid w:val="00450729"/>
    <w:rsid w:val="0045114C"/>
    <w:rsid w:val="0045148E"/>
    <w:rsid w:val="00452397"/>
    <w:rsid w:val="00452444"/>
    <w:rsid w:val="00452618"/>
    <w:rsid w:val="004528AC"/>
    <w:rsid w:val="00452B4A"/>
    <w:rsid w:val="00452F8B"/>
    <w:rsid w:val="00455B48"/>
    <w:rsid w:val="00455F93"/>
    <w:rsid w:val="004562A4"/>
    <w:rsid w:val="00456993"/>
    <w:rsid w:val="00456D45"/>
    <w:rsid w:val="00457583"/>
    <w:rsid w:val="00461123"/>
    <w:rsid w:val="00461891"/>
    <w:rsid w:val="00461CB5"/>
    <w:rsid w:val="00462386"/>
    <w:rsid w:val="004636C9"/>
    <w:rsid w:val="00464AD2"/>
    <w:rsid w:val="004653F1"/>
    <w:rsid w:val="004654FD"/>
    <w:rsid w:val="00465B0E"/>
    <w:rsid w:val="00466D62"/>
    <w:rsid w:val="00466FC0"/>
    <w:rsid w:val="0046719E"/>
    <w:rsid w:val="00467518"/>
    <w:rsid w:val="004676A3"/>
    <w:rsid w:val="00470134"/>
    <w:rsid w:val="0047148D"/>
    <w:rsid w:val="00471A7C"/>
    <w:rsid w:val="00471E15"/>
    <w:rsid w:val="004729B3"/>
    <w:rsid w:val="00472F1F"/>
    <w:rsid w:val="004732FD"/>
    <w:rsid w:val="004734C1"/>
    <w:rsid w:val="004735CB"/>
    <w:rsid w:val="00475781"/>
    <w:rsid w:val="0047581C"/>
    <w:rsid w:val="0047716B"/>
    <w:rsid w:val="004774E5"/>
    <w:rsid w:val="0047752E"/>
    <w:rsid w:val="00480D71"/>
    <w:rsid w:val="00480DB5"/>
    <w:rsid w:val="004813BB"/>
    <w:rsid w:val="004819DA"/>
    <w:rsid w:val="00482AB0"/>
    <w:rsid w:val="00482D36"/>
    <w:rsid w:val="00484253"/>
    <w:rsid w:val="00484A12"/>
    <w:rsid w:val="00486020"/>
    <w:rsid w:val="0048689F"/>
    <w:rsid w:val="00486FF6"/>
    <w:rsid w:val="0048789D"/>
    <w:rsid w:val="00490EFC"/>
    <w:rsid w:val="004936E6"/>
    <w:rsid w:val="00494E35"/>
    <w:rsid w:val="004953D2"/>
    <w:rsid w:val="004954A6"/>
    <w:rsid w:val="00496732"/>
    <w:rsid w:val="00496C72"/>
    <w:rsid w:val="00497210"/>
    <w:rsid w:val="004A028E"/>
    <w:rsid w:val="004A053C"/>
    <w:rsid w:val="004A1101"/>
    <w:rsid w:val="004A1593"/>
    <w:rsid w:val="004A1DCA"/>
    <w:rsid w:val="004A21F4"/>
    <w:rsid w:val="004A2E97"/>
    <w:rsid w:val="004A3BEA"/>
    <w:rsid w:val="004A4B68"/>
    <w:rsid w:val="004A5C37"/>
    <w:rsid w:val="004A78FB"/>
    <w:rsid w:val="004A7D22"/>
    <w:rsid w:val="004A7F9B"/>
    <w:rsid w:val="004B06E9"/>
    <w:rsid w:val="004B09B4"/>
    <w:rsid w:val="004B0F2E"/>
    <w:rsid w:val="004B12C9"/>
    <w:rsid w:val="004B153E"/>
    <w:rsid w:val="004B1C40"/>
    <w:rsid w:val="004B1D7A"/>
    <w:rsid w:val="004B2615"/>
    <w:rsid w:val="004B3808"/>
    <w:rsid w:val="004B4753"/>
    <w:rsid w:val="004B49BA"/>
    <w:rsid w:val="004B5667"/>
    <w:rsid w:val="004B5DEE"/>
    <w:rsid w:val="004B632A"/>
    <w:rsid w:val="004B6419"/>
    <w:rsid w:val="004B6953"/>
    <w:rsid w:val="004B6F01"/>
    <w:rsid w:val="004B70D5"/>
    <w:rsid w:val="004B7C4A"/>
    <w:rsid w:val="004B7DDE"/>
    <w:rsid w:val="004B7DF5"/>
    <w:rsid w:val="004C0790"/>
    <w:rsid w:val="004C0D4A"/>
    <w:rsid w:val="004C0E35"/>
    <w:rsid w:val="004C1FC5"/>
    <w:rsid w:val="004C25EA"/>
    <w:rsid w:val="004C2A10"/>
    <w:rsid w:val="004C4D08"/>
    <w:rsid w:val="004C59A7"/>
    <w:rsid w:val="004C63B9"/>
    <w:rsid w:val="004C73B9"/>
    <w:rsid w:val="004C7C8D"/>
    <w:rsid w:val="004D05E5"/>
    <w:rsid w:val="004D1742"/>
    <w:rsid w:val="004D1B63"/>
    <w:rsid w:val="004D22D0"/>
    <w:rsid w:val="004D2E85"/>
    <w:rsid w:val="004D350B"/>
    <w:rsid w:val="004D36E4"/>
    <w:rsid w:val="004D4111"/>
    <w:rsid w:val="004D4B73"/>
    <w:rsid w:val="004D5346"/>
    <w:rsid w:val="004D5673"/>
    <w:rsid w:val="004D5AC3"/>
    <w:rsid w:val="004D6088"/>
    <w:rsid w:val="004D7777"/>
    <w:rsid w:val="004E0014"/>
    <w:rsid w:val="004E0E1D"/>
    <w:rsid w:val="004E1002"/>
    <w:rsid w:val="004E1E0A"/>
    <w:rsid w:val="004E2A2B"/>
    <w:rsid w:val="004E3D73"/>
    <w:rsid w:val="004E477C"/>
    <w:rsid w:val="004E492E"/>
    <w:rsid w:val="004E5697"/>
    <w:rsid w:val="004E7518"/>
    <w:rsid w:val="004E7A50"/>
    <w:rsid w:val="004E7B08"/>
    <w:rsid w:val="004F07FC"/>
    <w:rsid w:val="004F4462"/>
    <w:rsid w:val="004F5BD5"/>
    <w:rsid w:val="004F6BF1"/>
    <w:rsid w:val="004F6E13"/>
    <w:rsid w:val="004F72EE"/>
    <w:rsid w:val="004F7657"/>
    <w:rsid w:val="00501B2B"/>
    <w:rsid w:val="00502197"/>
    <w:rsid w:val="00502E4E"/>
    <w:rsid w:val="00502FE5"/>
    <w:rsid w:val="00503AA4"/>
    <w:rsid w:val="00504487"/>
    <w:rsid w:val="005047A7"/>
    <w:rsid w:val="0050490A"/>
    <w:rsid w:val="005051C8"/>
    <w:rsid w:val="005065C0"/>
    <w:rsid w:val="00506AA9"/>
    <w:rsid w:val="00506C73"/>
    <w:rsid w:val="00507011"/>
    <w:rsid w:val="00507DBB"/>
    <w:rsid w:val="00507F0B"/>
    <w:rsid w:val="00510DA2"/>
    <w:rsid w:val="0051106F"/>
    <w:rsid w:val="00511EA7"/>
    <w:rsid w:val="005128E1"/>
    <w:rsid w:val="00513715"/>
    <w:rsid w:val="00513BAD"/>
    <w:rsid w:val="005155A6"/>
    <w:rsid w:val="0051593C"/>
    <w:rsid w:val="005160FD"/>
    <w:rsid w:val="00516571"/>
    <w:rsid w:val="0051666E"/>
    <w:rsid w:val="00517719"/>
    <w:rsid w:val="00517756"/>
    <w:rsid w:val="00520198"/>
    <w:rsid w:val="0052070F"/>
    <w:rsid w:val="00520807"/>
    <w:rsid w:val="00521ED0"/>
    <w:rsid w:val="0052228A"/>
    <w:rsid w:val="0052262F"/>
    <w:rsid w:val="00522F37"/>
    <w:rsid w:val="00522F6F"/>
    <w:rsid w:val="00523945"/>
    <w:rsid w:val="00524629"/>
    <w:rsid w:val="00524B41"/>
    <w:rsid w:val="00525943"/>
    <w:rsid w:val="00526420"/>
    <w:rsid w:val="005302CC"/>
    <w:rsid w:val="00530C71"/>
    <w:rsid w:val="00531560"/>
    <w:rsid w:val="00531A51"/>
    <w:rsid w:val="00531F1F"/>
    <w:rsid w:val="00532737"/>
    <w:rsid w:val="00533BEB"/>
    <w:rsid w:val="00533F58"/>
    <w:rsid w:val="0053435A"/>
    <w:rsid w:val="0053483C"/>
    <w:rsid w:val="00534DDC"/>
    <w:rsid w:val="00534DEC"/>
    <w:rsid w:val="005351E0"/>
    <w:rsid w:val="00535870"/>
    <w:rsid w:val="00541262"/>
    <w:rsid w:val="00541C45"/>
    <w:rsid w:val="005451F6"/>
    <w:rsid w:val="00545635"/>
    <w:rsid w:val="00545A7D"/>
    <w:rsid w:val="00545F8C"/>
    <w:rsid w:val="005462CC"/>
    <w:rsid w:val="00546329"/>
    <w:rsid w:val="00546A4D"/>
    <w:rsid w:val="00546C84"/>
    <w:rsid w:val="00546EA9"/>
    <w:rsid w:val="0054704F"/>
    <w:rsid w:val="00547362"/>
    <w:rsid w:val="00547642"/>
    <w:rsid w:val="00550074"/>
    <w:rsid w:val="00550B66"/>
    <w:rsid w:val="005523A3"/>
    <w:rsid w:val="00553378"/>
    <w:rsid w:val="00553684"/>
    <w:rsid w:val="00553A27"/>
    <w:rsid w:val="00554B59"/>
    <w:rsid w:val="005551AE"/>
    <w:rsid w:val="00555554"/>
    <w:rsid w:val="005556A7"/>
    <w:rsid w:val="00555837"/>
    <w:rsid w:val="00555E37"/>
    <w:rsid w:val="00556F1B"/>
    <w:rsid w:val="00557D14"/>
    <w:rsid w:val="00557E7C"/>
    <w:rsid w:val="00560682"/>
    <w:rsid w:val="00560CC4"/>
    <w:rsid w:val="005615E9"/>
    <w:rsid w:val="00561918"/>
    <w:rsid w:val="00561F0A"/>
    <w:rsid w:val="005634B6"/>
    <w:rsid w:val="005651A4"/>
    <w:rsid w:val="00565262"/>
    <w:rsid w:val="0056552E"/>
    <w:rsid w:val="00565E16"/>
    <w:rsid w:val="00565FF3"/>
    <w:rsid w:val="005674FB"/>
    <w:rsid w:val="005700EB"/>
    <w:rsid w:val="00570367"/>
    <w:rsid w:val="0057064E"/>
    <w:rsid w:val="005715F5"/>
    <w:rsid w:val="00572794"/>
    <w:rsid w:val="00573182"/>
    <w:rsid w:val="00573360"/>
    <w:rsid w:val="005737A9"/>
    <w:rsid w:val="00573F8B"/>
    <w:rsid w:val="005741A4"/>
    <w:rsid w:val="00574876"/>
    <w:rsid w:val="00574ED4"/>
    <w:rsid w:val="00575364"/>
    <w:rsid w:val="0057585F"/>
    <w:rsid w:val="0057621A"/>
    <w:rsid w:val="0057774D"/>
    <w:rsid w:val="00580C46"/>
    <w:rsid w:val="00581024"/>
    <w:rsid w:val="00582D8B"/>
    <w:rsid w:val="0058368F"/>
    <w:rsid w:val="005850F5"/>
    <w:rsid w:val="005853D9"/>
    <w:rsid w:val="005857A5"/>
    <w:rsid w:val="005862C9"/>
    <w:rsid w:val="00586B18"/>
    <w:rsid w:val="0058705B"/>
    <w:rsid w:val="00590AD3"/>
    <w:rsid w:val="00590CE0"/>
    <w:rsid w:val="00591EF9"/>
    <w:rsid w:val="0059347A"/>
    <w:rsid w:val="005936FE"/>
    <w:rsid w:val="005941B1"/>
    <w:rsid w:val="005946E3"/>
    <w:rsid w:val="005949AB"/>
    <w:rsid w:val="00594B84"/>
    <w:rsid w:val="005956CC"/>
    <w:rsid w:val="005956FA"/>
    <w:rsid w:val="0059574C"/>
    <w:rsid w:val="00596037"/>
    <w:rsid w:val="00597ABA"/>
    <w:rsid w:val="005A0559"/>
    <w:rsid w:val="005A0EE0"/>
    <w:rsid w:val="005A1A7D"/>
    <w:rsid w:val="005A1AA1"/>
    <w:rsid w:val="005A1EAE"/>
    <w:rsid w:val="005A2243"/>
    <w:rsid w:val="005A2480"/>
    <w:rsid w:val="005A2C0F"/>
    <w:rsid w:val="005A4855"/>
    <w:rsid w:val="005A4900"/>
    <w:rsid w:val="005A4A8C"/>
    <w:rsid w:val="005A5685"/>
    <w:rsid w:val="005A58FE"/>
    <w:rsid w:val="005A5F80"/>
    <w:rsid w:val="005A73F4"/>
    <w:rsid w:val="005B00BE"/>
    <w:rsid w:val="005B216B"/>
    <w:rsid w:val="005B2291"/>
    <w:rsid w:val="005B2DBC"/>
    <w:rsid w:val="005B3427"/>
    <w:rsid w:val="005B38E5"/>
    <w:rsid w:val="005B4D1C"/>
    <w:rsid w:val="005B54E7"/>
    <w:rsid w:val="005B5862"/>
    <w:rsid w:val="005B5A29"/>
    <w:rsid w:val="005B7215"/>
    <w:rsid w:val="005B7C4A"/>
    <w:rsid w:val="005C0494"/>
    <w:rsid w:val="005C0BD7"/>
    <w:rsid w:val="005C1682"/>
    <w:rsid w:val="005C2073"/>
    <w:rsid w:val="005C302A"/>
    <w:rsid w:val="005C373C"/>
    <w:rsid w:val="005C3B25"/>
    <w:rsid w:val="005C53DE"/>
    <w:rsid w:val="005C64C5"/>
    <w:rsid w:val="005C7C22"/>
    <w:rsid w:val="005C7D02"/>
    <w:rsid w:val="005D01ED"/>
    <w:rsid w:val="005D0EE5"/>
    <w:rsid w:val="005D0F1D"/>
    <w:rsid w:val="005D141C"/>
    <w:rsid w:val="005D1911"/>
    <w:rsid w:val="005D3501"/>
    <w:rsid w:val="005D3515"/>
    <w:rsid w:val="005D38BE"/>
    <w:rsid w:val="005D3B39"/>
    <w:rsid w:val="005D3C14"/>
    <w:rsid w:val="005D3C1E"/>
    <w:rsid w:val="005D4252"/>
    <w:rsid w:val="005E02EC"/>
    <w:rsid w:val="005E038D"/>
    <w:rsid w:val="005E060A"/>
    <w:rsid w:val="005E0972"/>
    <w:rsid w:val="005E1107"/>
    <w:rsid w:val="005E23EE"/>
    <w:rsid w:val="005E367C"/>
    <w:rsid w:val="005E50FC"/>
    <w:rsid w:val="005E589F"/>
    <w:rsid w:val="005E5AFD"/>
    <w:rsid w:val="005E5F26"/>
    <w:rsid w:val="005E64E3"/>
    <w:rsid w:val="005E6B9C"/>
    <w:rsid w:val="005E7145"/>
    <w:rsid w:val="005E7668"/>
    <w:rsid w:val="005E7B57"/>
    <w:rsid w:val="005E7D04"/>
    <w:rsid w:val="005F02E7"/>
    <w:rsid w:val="005F1C25"/>
    <w:rsid w:val="005F2C07"/>
    <w:rsid w:val="005F3731"/>
    <w:rsid w:val="005F57C7"/>
    <w:rsid w:val="005F7D0C"/>
    <w:rsid w:val="0060097B"/>
    <w:rsid w:val="00600CFA"/>
    <w:rsid w:val="006026D2"/>
    <w:rsid w:val="00602759"/>
    <w:rsid w:val="00602B2F"/>
    <w:rsid w:val="00603606"/>
    <w:rsid w:val="00603BEF"/>
    <w:rsid w:val="006045C1"/>
    <w:rsid w:val="00605992"/>
    <w:rsid w:val="006061A6"/>
    <w:rsid w:val="006075DB"/>
    <w:rsid w:val="006079B2"/>
    <w:rsid w:val="00607B36"/>
    <w:rsid w:val="00611165"/>
    <w:rsid w:val="006116A5"/>
    <w:rsid w:val="00611E67"/>
    <w:rsid w:val="00612B9B"/>
    <w:rsid w:val="00612C9C"/>
    <w:rsid w:val="006133FD"/>
    <w:rsid w:val="00613A7A"/>
    <w:rsid w:val="006144CC"/>
    <w:rsid w:val="006159E6"/>
    <w:rsid w:val="006163C9"/>
    <w:rsid w:val="0061668F"/>
    <w:rsid w:val="006179E3"/>
    <w:rsid w:val="00617FA3"/>
    <w:rsid w:val="00620293"/>
    <w:rsid w:val="0062043E"/>
    <w:rsid w:val="006207CB"/>
    <w:rsid w:val="00620FD6"/>
    <w:rsid w:val="00621349"/>
    <w:rsid w:val="00621943"/>
    <w:rsid w:val="006227B9"/>
    <w:rsid w:val="0062288B"/>
    <w:rsid w:val="00622BCB"/>
    <w:rsid w:val="006245D1"/>
    <w:rsid w:val="00625570"/>
    <w:rsid w:val="006255F0"/>
    <w:rsid w:val="00625866"/>
    <w:rsid w:val="00625D33"/>
    <w:rsid w:val="006265BE"/>
    <w:rsid w:val="006305D5"/>
    <w:rsid w:val="006313CD"/>
    <w:rsid w:val="00631C66"/>
    <w:rsid w:val="00635EA6"/>
    <w:rsid w:val="0063616A"/>
    <w:rsid w:val="00637CE4"/>
    <w:rsid w:val="00641054"/>
    <w:rsid w:val="0064135C"/>
    <w:rsid w:val="00644591"/>
    <w:rsid w:val="00644F4E"/>
    <w:rsid w:val="00645236"/>
    <w:rsid w:val="00645A08"/>
    <w:rsid w:val="00645CB5"/>
    <w:rsid w:val="0064642D"/>
    <w:rsid w:val="00646E59"/>
    <w:rsid w:val="00647133"/>
    <w:rsid w:val="00647268"/>
    <w:rsid w:val="006475BD"/>
    <w:rsid w:val="00647A24"/>
    <w:rsid w:val="00650111"/>
    <w:rsid w:val="00650991"/>
    <w:rsid w:val="00651EA2"/>
    <w:rsid w:val="00652728"/>
    <w:rsid w:val="006531D9"/>
    <w:rsid w:val="00654007"/>
    <w:rsid w:val="0065419E"/>
    <w:rsid w:val="00654970"/>
    <w:rsid w:val="0065698C"/>
    <w:rsid w:val="006572DA"/>
    <w:rsid w:val="00657307"/>
    <w:rsid w:val="00657C88"/>
    <w:rsid w:val="00662542"/>
    <w:rsid w:val="00663A49"/>
    <w:rsid w:val="006645F3"/>
    <w:rsid w:val="00664C11"/>
    <w:rsid w:val="00666F82"/>
    <w:rsid w:val="006671FA"/>
    <w:rsid w:val="0066778F"/>
    <w:rsid w:val="006708F4"/>
    <w:rsid w:val="00670C4C"/>
    <w:rsid w:val="00671DBD"/>
    <w:rsid w:val="00672128"/>
    <w:rsid w:val="00673C45"/>
    <w:rsid w:val="00673C6B"/>
    <w:rsid w:val="0067463C"/>
    <w:rsid w:val="00675A10"/>
    <w:rsid w:val="00675D23"/>
    <w:rsid w:val="00675E17"/>
    <w:rsid w:val="00676CF2"/>
    <w:rsid w:val="006776AD"/>
    <w:rsid w:val="006778E8"/>
    <w:rsid w:val="00680A5E"/>
    <w:rsid w:val="00681C7D"/>
    <w:rsid w:val="006839A4"/>
    <w:rsid w:val="0068439C"/>
    <w:rsid w:val="006850AB"/>
    <w:rsid w:val="006870BD"/>
    <w:rsid w:val="006871EC"/>
    <w:rsid w:val="00690A84"/>
    <w:rsid w:val="00690DB1"/>
    <w:rsid w:val="006917A6"/>
    <w:rsid w:val="00692A4A"/>
    <w:rsid w:val="0069382A"/>
    <w:rsid w:val="00693B09"/>
    <w:rsid w:val="006972C6"/>
    <w:rsid w:val="00697313"/>
    <w:rsid w:val="00697CF0"/>
    <w:rsid w:val="00697D44"/>
    <w:rsid w:val="006A0CDB"/>
    <w:rsid w:val="006A2A64"/>
    <w:rsid w:val="006A38F0"/>
    <w:rsid w:val="006A4896"/>
    <w:rsid w:val="006A4EC2"/>
    <w:rsid w:val="006A5295"/>
    <w:rsid w:val="006A6B89"/>
    <w:rsid w:val="006A746F"/>
    <w:rsid w:val="006A76A8"/>
    <w:rsid w:val="006B034A"/>
    <w:rsid w:val="006B14F9"/>
    <w:rsid w:val="006B1BF3"/>
    <w:rsid w:val="006B2503"/>
    <w:rsid w:val="006B31B7"/>
    <w:rsid w:val="006B462F"/>
    <w:rsid w:val="006B47C7"/>
    <w:rsid w:val="006B4D52"/>
    <w:rsid w:val="006B4D7C"/>
    <w:rsid w:val="006B5F87"/>
    <w:rsid w:val="006B65CA"/>
    <w:rsid w:val="006B7E07"/>
    <w:rsid w:val="006C00A1"/>
    <w:rsid w:val="006C061F"/>
    <w:rsid w:val="006C06CD"/>
    <w:rsid w:val="006C096C"/>
    <w:rsid w:val="006C31C5"/>
    <w:rsid w:val="006C320A"/>
    <w:rsid w:val="006C3E7B"/>
    <w:rsid w:val="006C401B"/>
    <w:rsid w:val="006C446A"/>
    <w:rsid w:val="006C456F"/>
    <w:rsid w:val="006C601E"/>
    <w:rsid w:val="006C660D"/>
    <w:rsid w:val="006C6DD4"/>
    <w:rsid w:val="006C6E54"/>
    <w:rsid w:val="006C6EA6"/>
    <w:rsid w:val="006C7651"/>
    <w:rsid w:val="006D06CE"/>
    <w:rsid w:val="006D1A56"/>
    <w:rsid w:val="006D4655"/>
    <w:rsid w:val="006D5CF7"/>
    <w:rsid w:val="006D61F0"/>
    <w:rsid w:val="006E0D9A"/>
    <w:rsid w:val="006E2C10"/>
    <w:rsid w:val="006E3FE0"/>
    <w:rsid w:val="006E4005"/>
    <w:rsid w:val="006E50BC"/>
    <w:rsid w:val="006E5B45"/>
    <w:rsid w:val="006E60AE"/>
    <w:rsid w:val="006E641F"/>
    <w:rsid w:val="006F029A"/>
    <w:rsid w:val="006F099E"/>
    <w:rsid w:val="006F0DC8"/>
    <w:rsid w:val="006F115A"/>
    <w:rsid w:val="006F191F"/>
    <w:rsid w:val="006F1DD4"/>
    <w:rsid w:val="006F2452"/>
    <w:rsid w:val="006F3439"/>
    <w:rsid w:val="006F3ABE"/>
    <w:rsid w:val="006F6051"/>
    <w:rsid w:val="006F6529"/>
    <w:rsid w:val="006F6E2B"/>
    <w:rsid w:val="006F70E0"/>
    <w:rsid w:val="00701E28"/>
    <w:rsid w:val="00702246"/>
    <w:rsid w:val="0070233B"/>
    <w:rsid w:val="007032BF"/>
    <w:rsid w:val="007044D5"/>
    <w:rsid w:val="007051FB"/>
    <w:rsid w:val="007052EF"/>
    <w:rsid w:val="00705D02"/>
    <w:rsid w:val="00705FFE"/>
    <w:rsid w:val="007074D4"/>
    <w:rsid w:val="00707EF6"/>
    <w:rsid w:val="007106F1"/>
    <w:rsid w:val="007107D2"/>
    <w:rsid w:val="00710EE5"/>
    <w:rsid w:val="00711CB2"/>
    <w:rsid w:val="007130E1"/>
    <w:rsid w:val="007135BD"/>
    <w:rsid w:val="00713678"/>
    <w:rsid w:val="00713B93"/>
    <w:rsid w:val="00714144"/>
    <w:rsid w:val="007154AC"/>
    <w:rsid w:val="00715699"/>
    <w:rsid w:val="0071632C"/>
    <w:rsid w:val="00716682"/>
    <w:rsid w:val="00720837"/>
    <w:rsid w:val="00720FB1"/>
    <w:rsid w:val="007216BC"/>
    <w:rsid w:val="00721966"/>
    <w:rsid w:val="007230E4"/>
    <w:rsid w:val="00723697"/>
    <w:rsid w:val="007239F2"/>
    <w:rsid w:val="00724E7E"/>
    <w:rsid w:val="0072522D"/>
    <w:rsid w:val="00725600"/>
    <w:rsid w:val="00727B79"/>
    <w:rsid w:val="0073041B"/>
    <w:rsid w:val="00730563"/>
    <w:rsid w:val="00732702"/>
    <w:rsid w:val="00732F64"/>
    <w:rsid w:val="007335AF"/>
    <w:rsid w:val="00733EF2"/>
    <w:rsid w:val="00733F81"/>
    <w:rsid w:val="0073408B"/>
    <w:rsid w:val="007342B6"/>
    <w:rsid w:val="007342E2"/>
    <w:rsid w:val="007376D1"/>
    <w:rsid w:val="00740598"/>
    <w:rsid w:val="007410B4"/>
    <w:rsid w:val="007424BB"/>
    <w:rsid w:val="00742D12"/>
    <w:rsid w:val="00742E67"/>
    <w:rsid w:val="00743F5B"/>
    <w:rsid w:val="0074455E"/>
    <w:rsid w:val="00744F0E"/>
    <w:rsid w:val="007451D2"/>
    <w:rsid w:val="007463DF"/>
    <w:rsid w:val="00746552"/>
    <w:rsid w:val="007501E3"/>
    <w:rsid w:val="0075027F"/>
    <w:rsid w:val="007505A2"/>
    <w:rsid w:val="007506A7"/>
    <w:rsid w:val="00750D06"/>
    <w:rsid w:val="00752A81"/>
    <w:rsid w:val="0075424D"/>
    <w:rsid w:val="00754ADD"/>
    <w:rsid w:val="00756BAE"/>
    <w:rsid w:val="00756D35"/>
    <w:rsid w:val="00756E09"/>
    <w:rsid w:val="00757232"/>
    <w:rsid w:val="0075736E"/>
    <w:rsid w:val="00757AD1"/>
    <w:rsid w:val="00757FF6"/>
    <w:rsid w:val="0076020B"/>
    <w:rsid w:val="0076078E"/>
    <w:rsid w:val="00760FF7"/>
    <w:rsid w:val="00762894"/>
    <w:rsid w:val="00762E63"/>
    <w:rsid w:val="00762F82"/>
    <w:rsid w:val="007641FC"/>
    <w:rsid w:val="0076446C"/>
    <w:rsid w:val="00764BA8"/>
    <w:rsid w:val="00765185"/>
    <w:rsid w:val="007652FA"/>
    <w:rsid w:val="00765BE7"/>
    <w:rsid w:val="00771607"/>
    <w:rsid w:val="00771B7A"/>
    <w:rsid w:val="00771D95"/>
    <w:rsid w:val="00773046"/>
    <w:rsid w:val="00773440"/>
    <w:rsid w:val="0077373D"/>
    <w:rsid w:val="00774E2F"/>
    <w:rsid w:val="00775F2D"/>
    <w:rsid w:val="00777C78"/>
    <w:rsid w:val="00780AE8"/>
    <w:rsid w:val="0078128C"/>
    <w:rsid w:val="00781CA0"/>
    <w:rsid w:val="00781D82"/>
    <w:rsid w:val="007826DB"/>
    <w:rsid w:val="00782C05"/>
    <w:rsid w:val="00782C24"/>
    <w:rsid w:val="00782D6B"/>
    <w:rsid w:val="00783057"/>
    <w:rsid w:val="00783C84"/>
    <w:rsid w:val="00784233"/>
    <w:rsid w:val="007852F0"/>
    <w:rsid w:val="00790301"/>
    <w:rsid w:val="0079031B"/>
    <w:rsid w:val="00791072"/>
    <w:rsid w:val="007945AF"/>
    <w:rsid w:val="00795F0E"/>
    <w:rsid w:val="00796556"/>
    <w:rsid w:val="007970A7"/>
    <w:rsid w:val="007979B7"/>
    <w:rsid w:val="00797DAD"/>
    <w:rsid w:val="007A083C"/>
    <w:rsid w:val="007A1173"/>
    <w:rsid w:val="007A318F"/>
    <w:rsid w:val="007A52A8"/>
    <w:rsid w:val="007A538C"/>
    <w:rsid w:val="007A5426"/>
    <w:rsid w:val="007A551D"/>
    <w:rsid w:val="007B0095"/>
    <w:rsid w:val="007B170E"/>
    <w:rsid w:val="007B194E"/>
    <w:rsid w:val="007B4AA4"/>
    <w:rsid w:val="007B4DF0"/>
    <w:rsid w:val="007B4F4A"/>
    <w:rsid w:val="007C03A0"/>
    <w:rsid w:val="007C11F7"/>
    <w:rsid w:val="007C1E1B"/>
    <w:rsid w:val="007C2675"/>
    <w:rsid w:val="007C48BD"/>
    <w:rsid w:val="007C6419"/>
    <w:rsid w:val="007C66C5"/>
    <w:rsid w:val="007C67E8"/>
    <w:rsid w:val="007C791B"/>
    <w:rsid w:val="007C7971"/>
    <w:rsid w:val="007C7FD8"/>
    <w:rsid w:val="007D122F"/>
    <w:rsid w:val="007D1E1B"/>
    <w:rsid w:val="007D42F8"/>
    <w:rsid w:val="007D459E"/>
    <w:rsid w:val="007D4AAE"/>
    <w:rsid w:val="007D4DE4"/>
    <w:rsid w:val="007D58A2"/>
    <w:rsid w:val="007E089C"/>
    <w:rsid w:val="007E0F4B"/>
    <w:rsid w:val="007E12C3"/>
    <w:rsid w:val="007E1821"/>
    <w:rsid w:val="007E22D0"/>
    <w:rsid w:val="007E2908"/>
    <w:rsid w:val="007E4154"/>
    <w:rsid w:val="007E543E"/>
    <w:rsid w:val="007E6621"/>
    <w:rsid w:val="007E699B"/>
    <w:rsid w:val="007E7208"/>
    <w:rsid w:val="007E7723"/>
    <w:rsid w:val="007F0FB8"/>
    <w:rsid w:val="007F2047"/>
    <w:rsid w:val="007F260F"/>
    <w:rsid w:val="007F2B62"/>
    <w:rsid w:val="007F3488"/>
    <w:rsid w:val="007F365D"/>
    <w:rsid w:val="007F40B7"/>
    <w:rsid w:val="007F4DF7"/>
    <w:rsid w:val="007F5B7E"/>
    <w:rsid w:val="00801D83"/>
    <w:rsid w:val="008022AC"/>
    <w:rsid w:val="008032A9"/>
    <w:rsid w:val="00803304"/>
    <w:rsid w:val="008049FD"/>
    <w:rsid w:val="00807AB5"/>
    <w:rsid w:val="00811936"/>
    <w:rsid w:val="00811BB9"/>
    <w:rsid w:val="008120B2"/>
    <w:rsid w:val="00814337"/>
    <w:rsid w:val="008143D8"/>
    <w:rsid w:val="0081468C"/>
    <w:rsid w:val="008146C1"/>
    <w:rsid w:val="00814C6B"/>
    <w:rsid w:val="00814F74"/>
    <w:rsid w:val="00815A69"/>
    <w:rsid w:val="00815B96"/>
    <w:rsid w:val="00816ADF"/>
    <w:rsid w:val="00820442"/>
    <w:rsid w:val="00820678"/>
    <w:rsid w:val="00822229"/>
    <w:rsid w:val="00822F4B"/>
    <w:rsid w:val="00823FC1"/>
    <w:rsid w:val="0082400C"/>
    <w:rsid w:val="00824425"/>
    <w:rsid w:val="00824AA0"/>
    <w:rsid w:val="008250D3"/>
    <w:rsid w:val="00825563"/>
    <w:rsid w:val="00825AD8"/>
    <w:rsid w:val="0082602D"/>
    <w:rsid w:val="0082696E"/>
    <w:rsid w:val="00826E40"/>
    <w:rsid w:val="00827113"/>
    <w:rsid w:val="00827709"/>
    <w:rsid w:val="008279A6"/>
    <w:rsid w:val="008314C2"/>
    <w:rsid w:val="00831CA4"/>
    <w:rsid w:val="00832864"/>
    <w:rsid w:val="00833C0F"/>
    <w:rsid w:val="0083462B"/>
    <w:rsid w:val="008357C0"/>
    <w:rsid w:val="00835E63"/>
    <w:rsid w:val="008360C6"/>
    <w:rsid w:val="00836AF9"/>
    <w:rsid w:val="00837CE2"/>
    <w:rsid w:val="0084033E"/>
    <w:rsid w:val="00840A26"/>
    <w:rsid w:val="00840B86"/>
    <w:rsid w:val="00840EC7"/>
    <w:rsid w:val="00841109"/>
    <w:rsid w:val="0084165E"/>
    <w:rsid w:val="008420C7"/>
    <w:rsid w:val="00842904"/>
    <w:rsid w:val="00843D48"/>
    <w:rsid w:val="00843E7F"/>
    <w:rsid w:val="00845ED5"/>
    <w:rsid w:val="00846A14"/>
    <w:rsid w:val="00847C52"/>
    <w:rsid w:val="008500FE"/>
    <w:rsid w:val="0085058F"/>
    <w:rsid w:val="00850CB5"/>
    <w:rsid w:val="00851900"/>
    <w:rsid w:val="00851B54"/>
    <w:rsid w:val="00852B0F"/>
    <w:rsid w:val="00853372"/>
    <w:rsid w:val="00853AFB"/>
    <w:rsid w:val="00853D25"/>
    <w:rsid w:val="0085464C"/>
    <w:rsid w:val="00854EFD"/>
    <w:rsid w:val="008559F7"/>
    <w:rsid w:val="0085653A"/>
    <w:rsid w:val="00856850"/>
    <w:rsid w:val="00856F58"/>
    <w:rsid w:val="008573E8"/>
    <w:rsid w:val="0085761F"/>
    <w:rsid w:val="008577CE"/>
    <w:rsid w:val="008577D8"/>
    <w:rsid w:val="008616C2"/>
    <w:rsid w:val="008616EC"/>
    <w:rsid w:val="008619AD"/>
    <w:rsid w:val="00862960"/>
    <w:rsid w:val="0086318E"/>
    <w:rsid w:val="00863442"/>
    <w:rsid w:val="008635B3"/>
    <w:rsid w:val="00863679"/>
    <w:rsid w:val="00863DCF"/>
    <w:rsid w:val="0086659E"/>
    <w:rsid w:val="008670AD"/>
    <w:rsid w:val="00871038"/>
    <w:rsid w:val="0087279D"/>
    <w:rsid w:val="00872876"/>
    <w:rsid w:val="00872A85"/>
    <w:rsid w:val="00872C7A"/>
    <w:rsid w:val="0087316A"/>
    <w:rsid w:val="00873618"/>
    <w:rsid w:val="00875013"/>
    <w:rsid w:val="00875CE9"/>
    <w:rsid w:val="0087615E"/>
    <w:rsid w:val="00876BAF"/>
    <w:rsid w:val="00876D8C"/>
    <w:rsid w:val="00877128"/>
    <w:rsid w:val="00877C5F"/>
    <w:rsid w:val="00877DA9"/>
    <w:rsid w:val="008803E8"/>
    <w:rsid w:val="008804AD"/>
    <w:rsid w:val="00881D4D"/>
    <w:rsid w:val="008824FB"/>
    <w:rsid w:val="00882B98"/>
    <w:rsid w:val="0088305E"/>
    <w:rsid w:val="00883407"/>
    <w:rsid w:val="0088375B"/>
    <w:rsid w:val="00884194"/>
    <w:rsid w:val="00885BD0"/>
    <w:rsid w:val="00886843"/>
    <w:rsid w:val="00890270"/>
    <w:rsid w:val="00890E06"/>
    <w:rsid w:val="0089157A"/>
    <w:rsid w:val="00891F28"/>
    <w:rsid w:val="00892480"/>
    <w:rsid w:val="00892C78"/>
    <w:rsid w:val="00893371"/>
    <w:rsid w:val="008939BA"/>
    <w:rsid w:val="00894A3C"/>
    <w:rsid w:val="00894EB0"/>
    <w:rsid w:val="00897491"/>
    <w:rsid w:val="00897A70"/>
    <w:rsid w:val="00897B95"/>
    <w:rsid w:val="008A03B8"/>
    <w:rsid w:val="008A0A6F"/>
    <w:rsid w:val="008A0D45"/>
    <w:rsid w:val="008A0E56"/>
    <w:rsid w:val="008A107F"/>
    <w:rsid w:val="008A2640"/>
    <w:rsid w:val="008A2661"/>
    <w:rsid w:val="008A27F6"/>
    <w:rsid w:val="008A2EDF"/>
    <w:rsid w:val="008A3541"/>
    <w:rsid w:val="008A393A"/>
    <w:rsid w:val="008A3B0B"/>
    <w:rsid w:val="008A4E5A"/>
    <w:rsid w:val="008A5E74"/>
    <w:rsid w:val="008A656A"/>
    <w:rsid w:val="008A6D66"/>
    <w:rsid w:val="008A6FB7"/>
    <w:rsid w:val="008A71E6"/>
    <w:rsid w:val="008B03F5"/>
    <w:rsid w:val="008B0DA7"/>
    <w:rsid w:val="008B12D1"/>
    <w:rsid w:val="008B2457"/>
    <w:rsid w:val="008B2DE5"/>
    <w:rsid w:val="008B4D78"/>
    <w:rsid w:val="008B5D02"/>
    <w:rsid w:val="008B614F"/>
    <w:rsid w:val="008B721C"/>
    <w:rsid w:val="008C09E1"/>
    <w:rsid w:val="008C100C"/>
    <w:rsid w:val="008C1407"/>
    <w:rsid w:val="008C169A"/>
    <w:rsid w:val="008C16BA"/>
    <w:rsid w:val="008C24E5"/>
    <w:rsid w:val="008C2DD4"/>
    <w:rsid w:val="008C327A"/>
    <w:rsid w:val="008C3E16"/>
    <w:rsid w:val="008C3F62"/>
    <w:rsid w:val="008C4E0F"/>
    <w:rsid w:val="008C5A86"/>
    <w:rsid w:val="008C5F5A"/>
    <w:rsid w:val="008C6929"/>
    <w:rsid w:val="008C6955"/>
    <w:rsid w:val="008C698E"/>
    <w:rsid w:val="008C6B0F"/>
    <w:rsid w:val="008C76F9"/>
    <w:rsid w:val="008D1A6C"/>
    <w:rsid w:val="008D219D"/>
    <w:rsid w:val="008D23D3"/>
    <w:rsid w:val="008D3853"/>
    <w:rsid w:val="008D4315"/>
    <w:rsid w:val="008D5A22"/>
    <w:rsid w:val="008D7EFA"/>
    <w:rsid w:val="008E07A7"/>
    <w:rsid w:val="008E1C2C"/>
    <w:rsid w:val="008E2251"/>
    <w:rsid w:val="008E2290"/>
    <w:rsid w:val="008E28DC"/>
    <w:rsid w:val="008E32F3"/>
    <w:rsid w:val="008E33AE"/>
    <w:rsid w:val="008E3655"/>
    <w:rsid w:val="008E36EB"/>
    <w:rsid w:val="008E49DD"/>
    <w:rsid w:val="008E4DF7"/>
    <w:rsid w:val="008E5501"/>
    <w:rsid w:val="008E55EA"/>
    <w:rsid w:val="008E5D0E"/>
    <w:rsid w:val="008E64E1"/>
    <w:rsid w:val="008E66BA"/>
    <w:rsid w:val="008F03AD"/>
    <w:rsid w:val="008F0C15"/>
    <w:rsid w:val="008F10ED"/>
    <w:rsid w:val="008F11C6"/>
    <w:rsid w:val="008F1AE7"/>
    <w:rsid w:val="008F2F1B"/>
    <w:rsid w:val="008F3108"/>
    <w:rsid w:val="008F318F"/>
    <w:rsid w:val="008F3194"/>
    <w:rsid w:val="008F31A7"/>
    <w:rsid w:val="008F3FDA"/>
    <w:rsid w:val="008F460D"/>
    <w:rsid w:val="008F4ABD"/>
    <w:rsid w:val="008F516B"/>
    <w:rsid w:val="008F54EA"/>
    <w:rsid w:val="008F76BF"/>
    <w:rsid w:val="008F7CFC"/>
    <w:rsid w:val="0090005F"/>
    <w:rsid w:val="009013AF"/>
    <w:rsid w:val="009029EA"/>
    <w:rsid w:val="0090310F"/>
    <w:rsid w:val="00903C42"/>
    <w:rsid w:val="009042C8"/>
    <w:rsid w:val="00905B0C"/>
    <w:rsid w:val="00906078"/>
    <w:rsid w:val="009066A7"/>
    <w:rsid w:val="0091147E"/>
    <w:rsid w:val="009118F9"/>
    <w:rsid w:val="009121DE"/>
    <w:rsid w:val="009132AB"/>
    <w:rsid w:val="00913657"/>
    <w:rsid w:val="00913A9C"/>
    <w:rsid w:val="00914279"/>
    <w:rsid w:val="00914A59"/>
    <w:rsid w:val="00914D5B"/>
    <w:rsid w:val="00914F9A"/>
    <w:rsid w:val="00916610"/>
    <w:rsid w:val="0091675E"/>
    <w:rsid w:val="00916B36"/>
    <w:rsid w:val="00916B9D"/>
    <w:rsid w:val="00917728"/>
    <w:rsid w:val="00920155"/>
    <w:rsid w:val="009206A3"/>
    <w:rsid w:val="00920D2F"/>
    <w:rsid w:val="00920DC0"/>
    <w:rsid w:val="009218A2"/>
    <w:rsid w:val="009228C9"/>
    <w:rsid w:val="00923ADF"/>
    <w:rsid w:val="00923E87"/>
    <w:rsid w:val="00924E29"/>
    <w:rsid w:val="00927422"/>
    <w:rsid w:val="00927BD6"/>
    <w:rsid w:val="00927E9B"/>
    <w:rsid w:val="009305C6"/>
    <w:rsid w:val="00930D1A"/>
    <w:rsid w:val="00932C8C"/>
    <w:rsid w:val="00932F6F"/>
    <w:rsid w:val="00933033"/>
    <w:rsid w:val="00933B48"/>
    <w:rsid w:val="00933DC3"/>
    <w:rsid w:val="0093506F"/>
    <w:rsid w:val="00935A12"/>
    <w:rsid w:val="00935BC5"/>
    <w:rsid w:val="009370BC"/>
    <w:rsid w:val="00937CC0"/>
    <w:rsid w:val="0094030B"/>
    <w:rsid w:val="00940755"/>
    <w:rsid w:val="00940BF4"/>
    <w:rsid w:val="00941AE3"/>
    <w:rsid w:val="00942427"/>
    <w:rsid w:val="00946ECA"/>
    <w:rsid w:val="009474A3"/>
    <w:rsid w:val="00947567"/>
    <w:rsid w:val="009477C7"/>
    <w:rsid w:val="009478CD"/>
    <w:rsid w:val="00947C67"/>
    <w:rsid w:val="009501D6"/>
    <w:rsid w:val="009508D3"/>
    <w:rsid w:val="00951694"/>
    <w:rsid w:val="00951970"/>
    <w:rsid w:val="00951CDD"/>
    <w:rsid w:val="00953D86"/>
    <w:rsid w:val="00954491"/>
    <w:rsid w:val="0095506D"/>
    <w:rsid w:val="009559A6"/>
    <w:rsid w:val="00956568"/>
    <w:rsid w:val="00960C0A"/>
    <w:rsid w:val="00961068"/>
    <w:rsid w:val="00961A71"/>
    <w:rsid w:val="00961CD3"/>
    <w:rsid w:val="00962C2A"/>
    <w:rsid w:val="00965B16"/>
    <w:rsid w:val="0096610A"/>
    <w:rsid w:val="009666D4"/>
    <w:rsid w:val="009670A5"/>
    <w:rsid w:val="0096762D"/>
    <w:rsid w:val="00971FDB"/>
    <w:rsid w:val="00973083"/>
    <w:rsid w:val="00973241"/>
    <w:rsid w:val="00973CF2"/>
    <w:rsid w:val="009743C5"/>
    <w:rsid w:val="0097445F"/>
    <w:rsid w:val="00974C73"/>
    <w:rsid w:val="00974D16"/>
    <w:rsid w:val="009758CD"/>
    <w:rsid w:val="009763CE"/>
    <w:rsid w:val="00976430"/>
    <w:rsid w:val="00981458"/>
    <w:rsid w:val="009832A7"/>
    <w:rsid w:val="00983816"/>
    <w:rsid w:val="0098581D"/>
    <w:rsid w:val="00985919"/>
    <w:rsid w:val="009863BF"/>
    <w:rsid w:val="00986666"/>
    <w:rsid w:val="009900E4"/>
    <w:rsid w:val="00990334"/>
    <w:rsid w:val="00991071"/>
    <w:rsid w:val="0099116F"/>
    <w:rsid w:val="009941D3"/>
    <w:rsid w:val="00994578"/>
    <w:rsid w:val="009957B0"/>
    <w:rsid w:val="00995999"/>
    <w:rsid w:val="00995AEE"/>
    <w:rsid w:val="00996F05"/>
    <w:rsid w:val="00997713"/>
    <w:rsid w:val="00997721"/>
    <w:rsid w:val="00997C7A"/>
    <w:rsid w:val="009A08E3"/>
    <w:rsid w:val="009A144F"/>
    <w:rsid w:val="009A1926"/>
    <w:rsid w:val="009A1C14"/>
    <w:rsid w:val="009A2357"/>
    <w:rsid w:val="009A4D5A"/>
    <w:rsid w:val="009A60FC"/>
    <w:rsid w:val="009A6960"/>
    <w:rsid w:val="009A7191"/>
    <w:rsid w:val="009B0C76"/>
    <w:rsid w:val="009B1D6A"/>
    <w:rsid w:val="009B20B9"/>
    <w:rsid w:val="009B2E4A"/>
    <w:rsid w:val="009B34D2"/>
    <w:rsid w:val="009B386F"/>
    <w:rsid w:val="009B3F39"/>
    <w:rsid w:val="009B4A5F"/>
    <w:rsid w:val="009B4DC1"/>
    <w:rsid w:val="009B575D"/>
    <w:rsid w:val="009B5B48"/>
    <w:rsid w:val="009B750B"/>
    <w:rsid w:val="009C0AF9"/>
    <w:rsid w:val="009C1391"/>
    <w:rsid w:val="009C1779"/>
    <w:rsid w:val="009C1E87"/>
    <w:rsid w:val="009C29FF"/>
    <w:rsid w:val="009C2AFC"/>
    <w:rsid w:val="009C33DE"/>
    <w:rsid w:val="009C510F"/>
    <w:rsid w:val="009C56B0"/>
    <w:rsid w:val="009C6615"/>
    <w:rsid w:val="009C6F45"/>
    <w:rsid w:val="009C7068"/>
    <w:rsid w:val="009C7675"/>
    <w:rsid w:val="009C777F"/>
    <w:rsid w:val="009C7C81"/>
    <w:rsid w:val="009C7D3B"/>
    <w:rsid w:val="009D00A9"/>
    <w:rsid w:val="009D0872"/>
    <w:rsid w:val="009D0AF6"/>
    <w:rsid w:val="009D13A7"/>
    <w:rsid w:val="009D1900"/>
    <w:rsid w:val="009D1CD4"/>
    <w:rsid w:val="009D1E2C"/>
    <w:rsid w:val="009D266D"/>
    <w:rsid w:val="009D3F52"/>
    <w:rsid w:val="009D5482"/>
    <w:rsid w:val="009D57A7"/>
    <w:rsid w:val="009D5B0E"/>
    <w:rsid w:val="009D6EF1"/>
    <w:rsid w:val="009D6F3C"/>
    <w:rsid w:val="009D7004"/>
    <w:rsid w:val="009E0262"/>
    <w:rsid w:val="009E0FAB"/>
    <w:rsid w:val="009E2C94"/>
    <w:rsid w:val="009E2F05"/>
    <w:rsid w:val="009E2F26"/>
    <w:rsid w:val="009E2F83"/>
    <w:rsid w:val="009E3778"/>
    <w:rsid w:val="009E4AC7"/>
    <w:rsid w:val="009E6FF2"/>
    <w:rsid w:val="009E7680"/>
    <w:rsid w:val="009F1634"/>
    <w:rsid w:val="009F2287"/>
    <w:rsid w:val="009F2C6C"/>
    <w:rsid w:val="009F35F2"/>
    <w:rsid w:val="009F43A5"/>
    <w:rsid w:val="009F4A4A"/>
    <w:rsid w:val="009F4CA8"/>
    <w:rsid w:val="009F4EE4"/>
    <w:rsid w:val="009F5CB7"/>
    <w:rsid w:val="009F63B2"/>
    <w:rsid w:val="009F6A0B"/>
    <w:rsid w:val="009F6F68"/>
    <w:rsid w:val="009F7CE3"/>
    <w:rsid w:val="00A002D2"/>
    <w:rsid w:val="00A003EC"/>
    <w:rsid w:val="00A00947"/>
    <w:rsid w:val="00A00FF3"/>
    <w:rsid w:val="00A011D9"/>
    <w:rsid w:val="00A0177E"/>
    <w:rsid w:val="00A027D9"/>
    <w:rsid w:val="00A0384E"/>
    <w:rsid w:val="00A047CA"/>
    <w:rsid w:val="00A05124"/>
    <w:rsid w:val="00A05562"/>
    <w:rsid w:val="00A05920"/>
    <w:rsid w:val="00A0743C"/>
    <w:rsid w:val="00A077B4"/>
    <w:rsid w:val="00A103E0"/>
    <w:rsid w:val="00A10D6E"/>
    <w:rsid w:val="00A1217A"/>
    <w:rsid w:val="00A157D7"/>
    <w:rsid w:val="00A16346"/>
    <w:rsid w:val="00A164CB"/>
    <w:rsid w:val="00A23AC5"/>
    <w:rsid w:val="00A24060"/>
    <w:rsid w:val="00A25CA6"/>
    <w:rsid w:val="00A26E22"/>
    <w:rsid w:val="00A26E3A"/>
    <w:rsid w:val="00A26FCE"/>
    <w:rsid w:val="00A271BF"/>
    <w:rsid w:val="00A27699"/>
    <w:rsid w:val="00A27F2C"/>
    <w:rsid w:val="00A30277"/>
    <w:rsid w:val="00A323C7"/>
    <w:rsid w:val="00A32734"/>
    <w:rsid w:val="00A34D34"/>
    <w:rsid w:val="00A34FC0"/>
    <w:rsid w:val="00A35836"/>
    <w:rsid w:val="00A35C8C"/>
    <w:rsid w:val="00A35F49"/>
    <w:rsid w:val="00A36658"/>
    <w:rsid w:val="00A369E9"/>
    <w:rsid w:val="00A36CC0"/>
    <w:rsid w:val="00A36CDF"/>
    <w:rsid w:val="00A37006"/>
    <w:rsid w:val="00A4040D"/>
    <w:rsid w:val="00A405C6"/>
    <w:rsid w:val="00A41F81"/>
    <w:rsid w:val="00A42EBD"/>
    <w:rsid w:val="00A43D17"/>
    <w:rsid w:val="00A44DDF"/>
    <w:rsid w:val="00A4577A"/>
    <w:rsid w:val="00A46741"/>
    <w:rsid w:val="00A47B6A"/>
    <w:rsid w:val="00A47F92"/>
    <w:rsid w:val="00A5116B"/>
    <w:rsid w:val="00A527D3"/>
    <w:rsid w:val="00A544B4"/>
    <w:rsid w:val="00A546E4"/>
    <w:rsid w:val="00A54DD6"/>
    <w:rsid w:val="00A54DD8"/>
    <w:rsid w:val="00A54EDB"/>
    <w:rsid w:val="00A565DB"/>
    <w:rsid w:val="00A5741E"/>
    <w:rsid w:val="00A5760A"/>
    <w:rsid w:val="00A57FAA"/>
    <w:rsid w:val="00A605DC"/>
    <w:rsid w:val="00A60E4C"/>
    <w:rsid w:val="00A611F0"/>
    <w:rsid w:val="00A61CB4"/>
    <w:rsid w:val="00A61CE9"/>
    <w:rsid w:val="00A62218"/>
    <w:rsid w:val="00A62DAE"/>
    <w:rsid w:val="00A63B38"/>
    <w:rsid w:val="00A642B1"/>
    <w:rsid w:val="00A66171"/>
    <w:rsid w:val="00A66926"/>
    <w:rsid w:val="00A66BB1"/>
    <w:rsid w:val="00A6713D"/>
    <w:rsid w:val="00A67CBB"/>
    <w:rsid w:val="00A72B59"/>
    <w:rsid w:val="00A72E08"/>
    <w:rsid w:val="00A73099"/>
    <w:rsid w:val="00A73759"/>
    <w:rsid w:val="00A739C1"/>
    <w:rsid w:val="00A74D3A"/>
    <w:rsid w:val="00A74FD4"/>
    <w:rsid w:val="00A7542F"/>
    <w:rsid w:val="00A75B03"/>
    <w:rsid w:val="00A761CE"/>
    <w:rsid w:val="00A762E7"/>
    <w:rsid w:val="00A76599"/>
    <w:rsid w:val="00A76989"/>
    <w:rsid w:val="00A8119C"/>
    <w:rsid w:val="00A85315"/>
    <w:rsid w:val="00A8578E"/>
    <w:rsid w:val="00A85B11"/>
    <w:rsid w:val="00A85C6C"/>
    <w:rsid w:val="00A8618E"/>
    <w:rsid w:val="00A87EAF"/>
    <w:rsid w:val="00A90387"/>
    <w:rsid w:val="00A91555"/>
    <w:rsid w:val="00A92133"/>
    <w:rsid w:val="00A9402A"/>
    <w:rsid w:val="00A948A7"/>
    <w:rsid w:val="00A9603B"/>
    <w:rsid w:val="00A967C8"/>
    <w:rsid w:val="00A975B9"/>
    <w:rsid w:val="00A976CC"/>
    <w:rsid w:val="00AA0857"/>
    <w:rsid w:val="00AA0BB8"/>
    <w:rsid w:val="00AA0FF8"/>
    <w:rsid w:val="00AA122B"/>
    <w:rsid w:val="00AA28A8"/>
    <w:rsid w:val="00AA2CF7"/>
    <w:rsid w:val="00AA2D1A"/>
    <w:rsid w:val="00AA3076"/>
    <w:rsid w:val="00AA403A"/>
    <w:rsid w:val="00AA4B98"/>
    <w:rsid w:val="00AA5D3A"/>
    <w:rsid w:val="00AA6240"/>
    <w:rsid w:val="00AA69D9"/>
    <w:rsid w:val="00AA7BC4"/>
    <w:rsid w:val="00AB1790"/>
    <w:rsid w:val="00AB286F"/>
    <w:rsid w:val="00AB2C90"/>
    <w:rsid w:val="00AB2E1B"/>
    <w:rsid w:val="00AB4FEB"/>
    <w:rsid w:val="00AB59C6"/>
    <w:rsid w:val="00AC05D4"/>
    <w:rsid w:val="00AC07E8"/>
    <w:rsid w:val="00AC1656"/>
    <w:rsid w:val="00AC1B0D"/>
    <w:rsid w:val="00AC1B76"/>
    <w:rsid w:val="00AC2075"/>
    <w:rsid w:val="00AC226E"/>
    <w:rsid w:val="00AC2898"/>
    <w:rsid w:val="00AC3568"/>
    <w:rsid w:val="00AC41AD"/>
    <w:rsid w:val="00AC5BEB"/>
    <w:rsid w:val="00AC685A"/>
    <w:rsid w:val="00AC7F0C"/>
    <w:rsid w:val="00AD033D"/>
    <w:rsid w:val="00AD0596"/>
    <w:rsid w:val="00AD0E78"/>
    <w:rsid w:val="00AD15AB"/>
    <w:rsid w:val="00AD21BE"/>
    <w:rsid w:val="00AD274C"/>
    <w:rsid w:val="00AD290A"/>
    <w:rsid w:val="00AD461C"/>
    <w:rsid w:val="00AD4F53"/>
    <w:rsid w:val="00AD5166"/>
    <w:rsid w:val="00AD55DF"/>
    <w:rsid w:val="00AD6484"/>
    <w:rsid w:val="00AD71D9"/>
    <w:rsid w:val="00AD73EC"/>
    <w:rsid w:val="00AD7538"/>
    <w:rsid w:val="00AE4ED3"/>
    <w:rsid w:val="00AE5CB0"/>
    <w:rsid w:val="00AE609F"/>
    <w:rsid w:val="00AE63DF"/>
    <w:rsid w:val="00AE6453"/>
    <w:rsid w:val="00AE721D"/>
    <w:rsid w:val="00AE7F26"/>
    <w:rsid w:val="00AF14E5"/>
    <w:rsid w:val="00AF1F23"/>
    <w:rsid w:val="00AF2E4D"/>
    <w:rsid w:val="00AF369C"/>
    <w:rsid w:val="00AF461A"/>
    <w:rsid w:val="00AF4FAC"/>
    <w:rsid w:val="00AF6095"/>
    <w:rsid w:val="00AF6239"/>
    <w:rsid w:val="00AF62ED"/>
    <w:rsid w:val="00AF65E4"/>
    <w:rsid w:val="00AF67F6"/>
    <w:rsid w:val="00AF71B4"/>
    <w:rsid w:val="00B00055"/>
    <w:rsid w:val="00B00601"/>
    <w:rsid w:val="00B00F8E"/>
    <w:rsid w:val="00B0197A"/>
    <w:rsid w:val="00B020C5"/>
    <w:rsid w:val="00B02E44"/>
    <w:rsid w:val="00B02ECE"/>
    <w:rsid w:val="00B04BCB"/>
    <w:rsid w:val="00B04BD3"/>
    <w:rsid w:val="00B05031"/>
    <w:rsid w:val="00B0689C"/>
    <w:rsid w:val="00B06A46"/>
    <w:rsid w:val="00B071EB"/>
    <w:rsid w:val="00B0735B"/>
    <w:rsid w:val="00B0751B"/>
    <w:rsid w:val="00B11100"/>
    <w:rsid w:val="00B11AF7"/>
    <w:rsid w:val="00B11C9E"/>
    <w:rsid w:val="00B1213F"/>
    <w:rsid w:val="00B12BD8"/>
    <w:rsid w:val="00B12E0D"/>
    <w:rsid w:val="00B13A46"/>
    <w:rsid w:val="00B1408F"/>
    <w:rsid w:val="00B14C20"/>
    <w:rsid w:val="00B164AA"/>
    <w:rsid w:val="00B16874"/>
    <w:rsid w:val="00B16E06"/>
    <w:rsid w:val="00B20DDD"/>
    <w:rsid w:val="00B213BB"/>
    <w:rsid w:val="00B21865"/>
    <w:rsid w:val="00B22F45"/>
    <w:rsid w:val="00B23DEB"/>
    <w:rsid w:val="00B24095"/>
    <w:rsid w:val="00B24506"/>
    <w:rsid w:val="00B255A9"/>
    <w:rsid w:val="00B275ED"/>
    <w:rsid w:val="00B27A8E"/>
    <w:rsid w:val="00B30312"/>
    <w:rsid w:val="00B30EA7"/>
    <w:rsid w:val="00B31155"/>
    <w:rsid w:val="00B33EF2"/>
    <w:rsid w:val="00B35A43"/>
    <w:rsid w:val="00B35EC8"/>
    <w:rsid w:val="00B361C7"/>
    <w:rsid w:val="00B407DA"/>
    <w:rsid w:val="00B40A36"/>
    <w:rsid w:val="00B419E3"/>
    <w:rsid w:val="00B42619"/>
    <w:rsid w:val="00B43136"/>
    <w:rsid w:val="00B437ED"/>
    <w:rsid w:val="00B4785C"/>
    <w:rsid w:val="00B47C7D"/>
    <w:rsid w:val="00B47D96"/>
    <w:rsid w:val="00B52B77"/>
    <w:rsid w:val="00B52F54"/>
    <w:rsid w:val="00B541FF"/>
    <w:rsid w:val="00B54289"/>
    <w:rsid w:val="00B55122"/>
    <w:rsid w:val="00B55582"/>
    <w:rsid w:val="00B56C74"/>
    <w:rsid w:val="00B6017F"/>
    <w:rsid w:val="00B60E5E"/>
    <w:rsid w:val="00B60F1F"/>
    <w:rsid w:val="00B6114C"/>
    <w:rsid w:val="00B62B09"/>
    <w:rsid w:val="00B62F12"/>
    <w:rsid w:val="00B644DA"/>
    <w:rsid w:val="00B64F09"/>
    <w:rsid w:val="00B64FAE"/>
    <w:rsid w:val="00B65552"/>
    <w:rsid w:val="00B666CD"/>
    <w:rsid w:val="00B66DCA"/>
    <w:rsid w:val="00B722E6"/>
    <w:rsid w:val="00B723EB"/>
    <w:rsid w:val="00B74796"/>
    <w:rsid w:val="00B74804"/>
    <w:rsid w:val="00B74A30"/>
    <w:rsid w:val="00B75C14"/>
    <w:rsid w:val="00B761AB"/>
    <w:rsid w:val="00B763F8"/>
    <w:rsid w:val="00B76ADC"/>
    <w:rsid w:val="00B8005A"/>
    <w:rsid w:val="00B80EA4"/>
    <w:rsid w:val="00B83FDF"/>
    <w:rsid w:val="00B842E6"/>
    <w:rsid w:val="00B85906"/>
    <w:rsid w:val="00B85F8A"/>
    <w:rsid w:val="00B86551"/>
    <w:rsid w:val="00B902DC"/>
    <w:rsid w:val="00B90348"/>
    <w:rsid w:val="00B90B3F"/>
    <w:rsid w:val="00B91E3A"/>
    <w:rsid w:val="00B92BCA"/>
    <w:rsid w:val="00B9347E"/>
    <w:rsid w:val="00B951B7"/>
    <w:rsid w:val="00B95230"/>
    <w:rsid w:val="00B95B76"/>
    <w:rsid w:val="00B9614D"/>
    <w:rsid w:val="00B9660F"/>
    <w:rsid w:val="00BA1CC4"/>
    <w:rsid w:val="00BA22C5"/>
    <w:rsid w:val="00BA43AF"/>
    <w:rsid w:val="00BA45E9"/>
    <w:rsid w:val="00BA4C7F"/>
    <w:rsid w:val="00BA7D30"/>
    <w:rsid w:val="00BB02CE"/>
    <w:rsid w:val="00BB097B"/>
    <w:rsid w:val="00BB0DFE"/>
    <w:rsid w:val="00BB0EB2"/>
    <w:rsid w:val="00BB1073"/>
    <w:rsid w:val="00BB3284"/>
    <w:rsid w:val="00BB389B"/>
    <w:rsid w:val="00BB397B"/>
    <w:rsid w:val="00BB3C4A"/>
    <w:rsid w:val="00BB3FD0"/>
    <w:rsid w:val="00BB42A0"/>
    <w:rsid w:val="00BB61A4"/>
    <w:rsid w:val="00BB68D1"/>
    <w:rsid w:val="00BC1410"/>
    <w:rsid w:val="00BC1B65"/>
    <w:rsid w:val="00BC1E5D"/>
    <w:rsid w:val="00BC21ED"/>
    <w:rsid w:val="00BC32E4"/>
    <w:rsid w:val="00BC438A"/>
    <w:rsid w:val="00BC58E7"/>
    <w:rsid w:val="00BC7E2F"/>
    <w:rsid w:val="00BD00B9"/>
    <w:rsid w:val="00BD0615"/>
    <w:rsid w:val="00BD1381"/>
    <w:rsid w:val="00BD15C9"/>
    <w:rsid w:val="00BD19AC"/>
    <w:rsid w:val="00BD1D56"/>
    <w:rsid w:val="00BD200F"/>
    <w:rsid w:val="00BD2ED8"/>
    <w:rsid w:val="00BD3CF4"/>
    <w:rsid w:val="00BD40BA"/>
    <w:rsid w:val="00BD4198"/>
    <w:rsid w:val="00BD5518"/>
    <w:rsid w:val="00BD69FD"/>
    <w:rsid w:val="00BE0919"/>
    <w:rsid w:val="00BE0CB3"/>
    <w:rsid w:val="00BE0E20"/>
    <w:rsid w:val="00BE1801"/>
    <w:rsid w:val="00BE19B0"/>
    <w:rsid w:val="00BE38D2"/>
    <w:rsid w:val="00BE3B0A"/>
    <w:rsid w:val="00BE3DE5"/>
    <w:rsid w:val="00BE3EB5"/>
    <w:rsid w:val="00BE58A8"/>
    <w:rsid w:val="00BE59F5"/>
    <w:rsid w:val="00BE606B"/>
    <w:rsid w:val="00BF0F31"/>
    <w:rsid w:val="00BF152E"/>
    <w:rsid w:val="00BF1918"/>
    <w:rsid w:val="00BF1BE4"/>
    <w:rsid w:val="00BF33D4"/>
    <w:rsid w:val="00BF3488"/>
    <w:rsid w:val="00BF4178"/>
    <w:rsid w:val="00BF772B"/>
    <w:rsid w:val="00BF7823"/>
    <w:rsid w:val="00BF7D89"/>
    <w:rsid w:val="00C0063E"/>
    <w:rsid w:val="00C00A01"/>
    <w:rsid w:val="00C010F9"/>
    <w:rsid w:val="00C01FB1"/>
    <w:rsid w:val="00C03534"/>
    <w:rsid w:val="00C03D1A"/>
    <w:rsid w:val="00C04F7B"/>
    <w:rsid w:val="00C06330"/>
    <w:rsid w:val="00C06FE7"/>
    <w:rsid w:val="00C12F29"/>
    <w:rsid w:val="00C13B1F"/>
    <w:rsid w:val="00C1411E"/>
    <w:rsid w:val="00C154E4"/>
    <w:rsid w:val="00C17055"/>
    <w:rsid w:val="00C17471"/>
    <w:rsid w:val="00C1776D"/>
    <w:rsid w:val="00C20290"/>
    <w:rsid w:val="00C20465"/>
    <w:rsid w:val="00C20A5E"/>
    <w:rsid w:val="00C20DB7"/>
    <w:rsid w:val="00C2206E"/>
    <w:rsid w:val="00C2219E"/>
    <w:rsid w:val="00C223A6"/>
    <w:rsid w:val="00C22C64"/>
    <w:rsid w:val="00C23046"/>
    <w:rsid w:val="00C24544"/>
    <w:rsid w:val="00C24F0D"/>
    <w:rsid w:val="00C25C13"/>
    <w:rsid w:val="00C25CB4"/>
    <w:rsid w:val="00C261B8"/>
    <w:rsid w:val="00C26835"/>
    <w:rsid w:val="00C26CDC"/>
    <w:rsid w:val="00C27375"/>
    <w:rsid w:val="00C274CE"/>
    <w:rsid w:val="00C27F6E"/>
    <w:rsid w:val="00C30143"/>
    <w:rsid w:val="00C3234F"/>
    <w:rsid w:val="00C32881"/>
    <w:rsid w:val="00C3351D"/>
    <w:rsid w:val="00C35092"/>
    <w:rsid w:val="00C35161"/>
    <w:rsid w:val="00C35273"/>
    <w:rsid w:val="00C3793B"/>
    <w:rsid w:val="00C402D9"/>
    <w:rsid w:val="00C41012"/>
    <w:rsid w:val="00C412EC"/>
    <w:rsid w:val="00C41A30"/>
    <w:rsid w:val="00C42AD9"/>
    <w:rsid w:val="00C4423E"/>
    <w:rsid w:val="00C442BB"/>
    <w:rsid w:val="00C449A8"/>
    <w:rsid w:val="00C44ACC"/>
    <w:rsid w:val="00C45CE3"/>
    <w:rsid w:val="00C45D8A"/>
    <w:rsid w:val="00C47228"/>
    <w:rsid w:val="00C5463D"/>
    <w:rsid w:val="00C54D69"/>
    <w:rsid w:val="00C54E3A"/>
    <w:rsid w:val="00C6088A"/>
    <w:rsid w:val="00C60C4D"/>
    <w:rsid w:val="00C6175A"/>
    <w:rsid w:val="00C63340"/>
    <w:rsid w:val="00C63BCB"/>
    <w:rsid w:val="00C64935"/>
    <w:rsid w:val="00C6570B"/>
    <w:rsid w:val="00C66651"/>
    <w:rsid w:val="00C66AB4"/>
    <w:rsid w:val="00C66E96"/>
    <w:rsid w:val="00C7061D"/>
    <w:rsid w:val="00C709AA"/>
    <w:rsid w:val="00C71BA8"/>
    <w:rsid w:val="00C72BB1"/>
    <w:rsid w:val="00C72CFB"/>
    <w:rsid w:val="00C753AD"/>
    <w:rsid w:val="00C75839"/>
    <w:rsid w:val="00C77560"/>
    <w:rsid w:val="00C77C03"/>
    <w:rsid w:val="00C77ED8"/>
    <w:rsid w:val="00C8005E"/>
    <w:rsid w:val="00C8022D"/>
    <w:rsid w:val="00C82036"/>
    <w:rsid w:val="00C82BCF"/>
    <w:rsid w:val="00C83953"/>
    <w:rsid w:val="00C83B5D"/>
    <w:rsid w:val="00C8413F"/>
    <w:rsid w:val="00C84F66"/>
    <w:rsid w:val="00C85354"/>
    <w:rsid w:val="00C861C7"/>
    <w:rsid w:val="00C878A2"/>
    <w:rsid w:val="00C90027"/>
    <w:rsid w:val="00C906A9"/>
    <w:rsid w:val="00C90A1E"/>
    <w:rsid w:val="00C90C3F"/>
    <w:rsid w:val="00C9165F"/>
    <w:rsid w:val="00C918E3"/>
    <w:rsid w:val="00C921CE"/>
    <w:rsid w:val="00C92A65"/>
    <w:rsid w:val="00C92D3E"/>
    <w:rsid w:val="00C96175"/>
    <w:rsid w:val="00C9766D"/>
    <w:rsid w:val="00C97DD2"/>
    <w:rsid w:val="00CA004C"/>
    <w:rsid w:val="00CA098B"/>
    <w:rsid w:val="00CA1028"/>
    <w:rsid w:val="00CA3A5C"/>
    <w:rsid w:val="00CA53C6"/>
    <w:rsid w:val="00CA5816"/>
    <w:rsid w:val="00CA5F9F"/>
    <w:rsid w:val="00CA6A46"/>
    <w:rsid w:val="00CA79D3"/>
    <w:rsid w:val="00CB03D4"/>
    <w:rsid w:val="00CB06AA"/>
    <w:rsid w:val="00CB29E2"/>
    <w:rsid w:val="00CB2E8C"/>
    <w:rsid w:val="00CB3537"/>
    <w:rsid w:val="00CB37AD"/>
    <w:rsid w:val="00CB4095"/>
    <w:rsid w:val="00CB45CB"/>
    <w:rsid w:val="00CB5421"/>
    <w:rsid w:val="00CB5D68"/>
    <w:rsid w:val="00CB6435"/>
    <w:rsid w:val="00CB645C"/>
    <w:rsid w:val="00CC0653"/>
    <w:rsid w:val="00CC13A8"/>
    <w:rsid w:val="00CC5A61"/>
    <w:rsid w:val="00CC5C6F"/>
    <w:rsid w:val="00CC6A6E"/>
    <w:rsid w:val="00CD0366"/>
    <w:rsid w:val="00CD1293"/>
    <w:rsid w:val="00CD1DE3"/>
    <w:rsid w:val="00CD2AEE"/>
    <w:rsid w:val="00CD2BF7"/>
    <w:rsid w:val="00CD3040"/>
    <w:rsid w:val="00CD408C"/>
    <w:rsid w:val="00CD41A3"/>
    <w:rsid w:val="00CD464B"/>
    <w:rsid w:val="00CD5B03"/>
    <w:rsid w:val="00CD731A"/>
    <w:rsid w:val="00CE11E9"/>
    <w:rsid w:val="00CE2C95"/>
    <w:rsid w:val="00CE4A41"/>
    <w:rsid w:val="00CE57C8"/>
    <w:rsid w:val="00CE661F"/>
    <w:rsid w:val="00CE7996"/>
    <w:rsid w:val="00CF0180"/>
    <w:rsid w:val="00CF34AF"/>
    <w:rsid w:val="00CF39EE"/>
    <w:rsid w:val="00CF5FC6"/>
    <w:rsid w:val="00CF6A8A"/>
    <w:rsid w:val="00CF7CEE"/>
    <w:rsid w:val="00D00216"/>
    <w:rsid w:val="00D00732"/>
    <w:rsid w:val="00D00AD5"/>
    <w:rsid w:val="00D02157"/>
    <w:rsid w:val="00D024DD"/>
    <w:rsid w:val="00D046C6"/>
    <w:rsid w:val="00D054BD"/>
    <w:rsid w:val="00D057BD"/>
    <w:rsid w:val="00D06C76"/>
    <w:rsid w:val="00D07E75"/>
    <w:rsid w:val="00D07F43"/>
    <w:rsid w:val="00D11248"/>
    <w:rsid w:val="00D115AB"/>
    <w:rsid w:val="00D1180F"/>
    <w:rsid w:val="00D118E0"/>
    <w:rsid w:val="00D11C36"/>
    <w:rsid w:val="00D12251"/>
    <w:rsid w:val="00D1280E"/>
    <w:rsid w:val="00D131A8"/>
    <w:rsid w:val="00D135D2"/>
    <w:rsid w:val="00D14099"/>
    <w:rsid w:val="00D145B8"/>
    <w:rsid w:val="00D14A7E"/>
    <w:rsid w:val="00D15011"/>
    <w:rsid w:val="00D172F4"/>
    <w:rsid w:val="00D207BB"/>
    <w:rsid w:val="00D20B59"/>
    <w:rsid w:val="00D223E7"/>
    <w:rsid w:val="00D23B77"/>
    <w:rsid w:val="00D23F14"/>
    <w:rsid w:val="00D23FC9"/>
    <w:rsid w:val="00D24539"/>
    <w:rsid w:val="00D24775"/>
    <w:rsid w:val="00D24BEB"/>
    <w:rsid w:val="00D273D2"/>
    <w:rsid w:val="00D279B5"/>
    <w:rsid w:val="00D30E31"/>
    <w:rsid w:val="00D31A6B"/>
    <w:rsid w:val="00D31F24"/>
    <w:rsid w:val="00D3342B"/>
    <w:rsid w:val="00D34A0D"/>
    <w:rsid w:val="00D3631C"/>
    <w:rsid w:val="00D364FF"/>
    <w:rsid w:val="00D36E2A"/>
    <w:rsid w:val="00D372B2"/>
    <w:rsid w:val="00D37D0C"/>
    <w:rsid w:val="00D406C2"/>
    <w:rsid w:val="00D40B0C"/>
    <w:rsid w:val="00D413F5"/>
    <w:rsid w:val="00D42167"/>
    <w:rsid w:val="00D42A75"/>
    <w:rsid w:val="00D42E8C"/>
    <w:rsid w:val="00D433CE"/>
    <w:rsid w:val="00D444FB"/>
    <w:rsid w:val="00D44E95"/>
    <w:rsid w:val="00D4560E"/>
    <w:rsid w:val="00D456F8"/>
    <w:rsid w:val="00D45DD9"/>
    <w:rsid w:val="00D46EF1"/>
    <w:rsid w:val="00D508C2"/>
    <w:rsid w:val="00D51E9C"/>
    <w:rsid w:val="00D5214A"/>
    <w:rsid w:val="00D52E75"/>
    <w:rsid w:val="00D532FE"/>
    <w:rsid w:val="00D53CCB"/>
    <w:rsid w:val="00D542BB"/>
    <w:rsid w:val="00D543C5"/>
    <w:rsid w:val="00D55558"/>
    <w:rsid w:val="00D5680D"/>
    <w:rsid w:val="00D56D76"/>
    <w:rsid w:val="00D57FAE"/>
    <w:rsid w:val="00D601BE"/>
    <w:rsid w:val="00D60928"/>
    <w:rsid w:val="00D60A5C"/>
    <w:rsid w:val="00D618DD"/>
    <w:rsid w:val="00D62A9E"/>
    <w:rsid w:val="00D636F5"/>
    <w:rsid w:val="00D63A05"/>
    <w:rsid w:val="00D64413"/>
    <w:rsid w:val="00D64587"/>
    <w:rsid w:val="00D64595"/>
    <w:rsid w:val="00D651E9"/>
    <w:rsid w:val="00D65CBE"/>
    <w:rsid w:val="00D660BE"/>
    <w:rsid w:val="00D669B8"/>
    <w:rsid w:val="00D669CA"/>
    <w:rsid w:val="00D66C5B"/>
    <w:rsid w:val="00D70917"/>
    <w:rsid w:val="00D70DBF"/>
    <w:rsid w:val="00D7154E"/>
    <w:rsid w:val="00D729AB"/>
    <w:rsid w:val="00D72AE8"/>
    <w:rsid w:val="00D72E3D"/>
    <w:rsid w:val="00D73C6C"/>
    <w:rsid w:val="00D73F8E"/>
    <w:rsid w:val="00D74085"/>
    <w:rsid w:val="00D74BA0"/>
    <w:rsid w:val="00D75303"/>
    <w:rsid w:val="00D758AC"/>
    <w:rsid w:val="00D760E7"/>
    <w:rsid w:val="00D761C8"/>
    <w:rsid w:val="00D761CB"/>
    <w:rsid w:val="00D76EF8"/>
    <w:rsid w:val="00D77B4C"/>
    <w:rsid w:val="00D77BD6"/>
    <w:rsid w:val="00D80834"/>
    <w:rsid w:val="00D8127C"/>
    <w:rsid w:val="00D81915"/>
    <w:rsid w:val="00D82C0B"/>
    <w:rsid w:val="00D8316A"/>
    <w:rsid w:val="00D84335"/>
    <w:rsid w:val="00D84874"/>
    <w:rsid w:val="00D84ACE"/>
    <w:rsid w:val="00D850D8"/>
    <w:rsid w:val="00D85134"/>
    <w:rsid w:val="00D87A38"/>
    <w:rsid w:val="00D87CF9"/>
    <w:rsid w:val="00D90068"/>
    <w:rsid w:val="00D90E3C"/>
    <w:rsid w:val="00D914D2"/>
    <w:rsid w:val="00D91C23"/>
    <w:rsid w:val="00D91D66"/>
    <w:rsid w:val="00D9224D"/>
    <w:rsid w:val="00D9344C"/>
    <w:rsid w:val="00D93B28"/>
    <w:rsid w:val="00D9415E"/>
    <w:rsid w:val="00D96762"/>
    <w:rsid w:val="00D96B91"/>
    <w:rsid w:val="00D97369"/>
    <w:rsid w:val="00D97636"/>
    <w:rsid w:val="00D9782F"/>
    <w:rsid w:val="00DA020F"/>
    <w:rsid w:val="00DA0569"/>
    <w:rsid w:val="00DA2199"/>
    <w:rsid w:val="00DA2734"/>
    <w:rsid w:val="00DA2AA7"/>
    <w:rsid w:val="00DA2C1C"/>
    <w:rsid w:val="00DA2C56"/>
    <w:rsid w:val="00DA433F"/>
    <w:rsid w:val="00DA4B0C"/>
    <w:rsid w:val="00DA5041"/>
    <w:rsid w:val="00DA5698"/>
    <w:rsid w:val="00DA734A"/>
    <w:rsid w:val="00DA79AF"/>
    <w:rsid w:val="00DB026F"/>
    <w:rsid w:val="00DB0E2B"/>
    <w:rsid w:val="00DB20F0"/>
    <w:rsid w:val="00DB2276"/>
    <w:rsid w:val="00DB2B0A"/>
    <w:rsid w:val="00DB3303"/>
    <w:rsid w:val="00DB3CD0"/>
    <w:rsid w:val="00DB4D87"/>
    <w:rsid w:val="00DB55B3"/>
    <w:rsid w:val="00DB6621"/>
    <w:rsid w:val="00DB67D3"/>
    <w:rsid w:val="00DB6953"/>
    <w:rsid w:val="00DB7748"/>
    <w:rsid w:val="00DB7A9C"/>
    <w:rsid w:val="00DC1031"/>
    <w:rsid w:val="00DC1058"/>
    <w:rsid w:val="00DC15FC"/>
    <w:rsid w:val="00DC2C1A"/>
    <w:rsid w:val="00DC3158"/>
    <w:rsid w:val="00DC3B23"/>
    <w:rsid w:val="00DC3E02"/>
    <w:rsid w:val="00DC5034"/>
    <w:rsid w:val="00DC531B"/>
    <w:rsid w:val="00DC5CA6"/>
    <w:rsid w:val="00DC6943"/>
    <w:rsid w:val="00DC720A"/>
    <w:rsid w:val="00DD1E13"/>
    <w:rsid w:val="00DD20F3"/>
    <w:rsid w:val="00DD25C7"/>
    <w:rsid w:val="00DD3D63"/>
    <w:rsid w:val="00DD4DB6"/>
    <w:rsid w:val="00DD56F6"/>
    <w:rsid w:val="00DD75F4"/>
    <w:rsid w:val="00DD7AE2"/>
    <w:rsid w:val="00DE0755"/>
    <w:rsid w:val="00DE0782"/>
    <w:rsid w:val="00DE117E"/>
    <w:rsid w:val="00DE16CB"/>
    <w:rsid w:val="00DE1BF2"/>
    <w:rsid w:val="00DE2959"/>
    <w:rsid w:val="00DE3216"/>
    <w:rsid w:val="00DE3927"/>
    <w:rsid w:val="00DE4D58"/>
    <w:rsid w:val="00DE4D5F"/>
    <w:rsid w:val="00DE5810"/>
    <w:rsid w:val="00DE6295"/>
    <w:rsid w:val="00DE661F"/>
    <w:rsid w:val="00DE70DE"/>
    <w:rsid w:val="00DF13C7"/>
    <w:rsid w:val="00DF1EDC"/>
    <w:rsid w:val="00DF1F50"/>
    <w:rsid w:val="00DF2741"/>
    <w:rsid w:val="00DF33CD"/>
    <w:rsid w:val="00DF36C2"/>
    <w:rsid w:val="00DF3CBC"/>
    <w:rsid w:val="00DF3CE9"/>
    <w:rsid w:val="00DF49B1"/>
    <w:rsid w:val="00DF5352"/>
    <w:rsid w:val="00DF6B4E"/>
    <w:rsid w:val="00DF73D1"/>
    <w:rsid w:val="00E00AA5"/>
    <w:rsid w:val="00E02D85"/>
    <w:rsid w:val="00E05845"/>
    <w:rsid w:val="00E061E1"/>
    <w:rsid w:val="00E06770"/>
    <w:rsid w:val="00E067D6"/>
    <w:rsid w:val="00E06B8A"/>
    <w:rsid w:val="00E07024"/>
    <w:rsid w:val="00E07139"/>
    <w:rsid w:val="00E07296"/>
    <w:rsid w:val="00E07865"/>
    <w:rsid w:val="00E07BB1"/>
    <w:rsid w:val="00E07CF3"/>
    <w:rsid w:val="00E107EA"/>
    <w:rsid w:val="00E1171E"/>
    <w:rsid w:val="00E11951"/>
    <w:rsid w:val="00E12BA9"/>
    <w:rsid w:val="00E13765"/>
    <w:rsid w:val="00E13EAD"/>
    <w:rsid w:val="00E151C1"/>
    <w:rsid w:val="00E1520C"/>
    <w:rsid w:val="00E16478"/>
    <w:rsid w:val="00E16AA9"/>
    <w:rsid w:val="00E16FB8"/>
    <w:rsid w:val="00E20713"/>
    <w:rsid w:val="00E21359"/>
    <w:rsid w:val="00E21732"/>
    <w:rsid w:val="00E21A23"/>
    <w:rsid w:val="00E21D21"/>
    <w:rsid w:val="00E21DEA"/>
    <w:rsid w:val="00E224D0"/>
    <w:rsid w:val="00E22814"/>
    <w:rsid w:val="00E23234"/>
    <w:rsid w:val="00E2349B"/>
    <w:rsid w:val="00E2432A"/>
    <w:rsid w:val="00E2463A"/>
    <w:rsid w:val="00E24DF7"/>
    <w:rsid w:val="00E2601C"/>
    <w:rsid w:val="00E26840"/>
    <w:rsid w:val="00E26894"/>
    <w:rsid w:val="00E26E90"/>
    <w:rsid w:val="00E26F29"/>
    <w:rsid w:val="00E277C2"/>
    <w:rsid w:val="00E3132B"/>
    <w:rsid w:val="00E31693"/>
    <w:rsid w:val="00E3272F"/>
    <w:rsid w:val="00E329DD"/>
    <w:rsid w:val="00E32BF4"/>
    <w:rsid w:val="00E33013"/>
    <w:rsid w:val="00E3304C"/>
    <w:rsid w:val="00E349DE"/>
    <w:rsid w:val="00E356E1"/>
    <w:rsid w:val="00E359CA"/>
    <w:rsid w:val="00E35A36"/>
    <w:rsid w:val="00E36022"/>
    <w:rsid w:val="00E362FE"/>
    <w:rsid w:val="00E36745"/>
    <w:rsid w:val="00E401BE"/>
    <w:rsid w:val="00E40876"/>
    <w:rsid w:val="00E412D0"/>
    <w:rsid w:val="00E416EC"/>
    <w:rsid w:val="00E425ED"/>
    <w:rsid w:val="00E42F5E"/>
    <w:rsid w:val="00E45AFE"/>
    <w:rsid w:val="00E45B0C"/>
    <w:rsid w:val="00E45D21"/>
    <w:rsid w:val="00E46184"/>
    <w:rsid w:val="00E4618F"/>
    <w:rsid w:val="00E47E8A"/>
    <w:rsid w:val="00E47FE1"/>
    <w:rsid w:val="00E50179"/>
    <w:rsid w:val="00E50CAB"/>
    <w:rsid w:val="00E511E3"/>
    <w:rsid w:val="00E5387E"/>
    <w:rsid w:val="00E573D1"/>
    <w:rsid w:val="00E60384"/>
    <w:rsid w:val="00E621E5"/>
    <w:rsid w:val="00E624A0"/>
    <w:rsid w:val="00E631F4"/>
    <w:rsid w:val="00E63F2A"/>
    <w:rsid w:val="00E6443E"/>
    <w:rsid w:val="00E64B21"/>
    <w:rsid w:val="00E65C3C"/>
    <w:rsid w:val="00E66021"/>
    <w:rsid w:val="00E663EA"/>
    <w:rsid w:val="00E664BD"/>
    <w:rsid w:val="00E664D9"/>
    <w:rsid w:val="00E674DB"/>
    <w:rsid w:val="00E676FE"/>
    <w:rsid w:val="00E67A85"/>
    <w:rsid w:val="00E70B69"/>
    <w:rsid w:val="00E70C2D"/>
    <w:rsid w:val="00E71394"/>
    <w:rsid w:val="00E7169D"/>
    <w:rsid w:val="00E72862"/>
    <w:rsid w:val="00E72AB6"/>
    <w:rsid w:val="00E72D41"/>
    <w:rsid w:val="00E73593"/>
    <w:rsid w:val="00E735EC"/>
    <w:rsid w:val="00E73EB5"/>
    <w:rsid w:val="00E74F6C"/>
    <w:rsid w:val="00E75010"/>
    <w:rsid w:val="00E760F8"/>
    <w:rsid w:val="00E76D32"/>
    <w:rsid w:val="00E77189"/>
    <w:rsid w:val="00E7730F"/>
    <w:rsid w:val="00E77CD8"/>
    <w:rsid w:val="00E77FFB"/>
    <w:rsid w:val="00E80C2B"/>
    <w:rsid w:val="00E80C39"/>
    <w:rsid w:val="00E815D3"/>
    <w:rsid w:val="00E8189F"/>
    <w:rsid w:val="00E81B65"/>
    <w:rsid w:val="00E81FD0"/>
    <w:rsid w:val="00E8204B"/>
    <w:rsid w:val="00E83452"/>
    <w:rsid w:val="00E839AB"/>
    <w:rsid w:val="00E83DCB"/>
    <w:rsid w:val="00E84043"/>
    <w:rsid w:val="00E842C1"/>
    <w:rsid w:val="00E843BA"/>
    <w:rsid w:val="00E848EC"/>
    <w:rsid w:val="00E84CB3"/>
    <w:rsid w:val="00E853BC"/>
    <w:rsid w:val="00E87BFB"/>
    <w:rsid w:val="00E87E38"/>
    <w:rsid w:val="00E87EDF"/>
    <w:rsid w:val="00E9019A"/>
    <w:rsid w:val="00E90C02"/>
    <w:rsid w:val="00E90D4D"/>
    <w:rsid w:val="00E919F3"/>
    <w:rsid w:val="00E92572"/>
    <w:rsid w:val="00E92BA4"/>
    <w:rsid w:val="00E93F1E"/>
    <w:rsid w:val="00E94871"/>
    <w:rsid w:val="00E949BC"/>
    <w:rsid w:val="00E95047"/>
    <w:rsid w:val="00E96714"/>
    <w:rsid w:val="00E975FA"/>
    <w:rsid w:val="00E976C7"/>
    <w:rsid w:val="00E97BD3"/>
    <w:rsid w:val="00E97E14"/>
    <w:rsid w:val="00EA053B"/>
    <w:rsid w:val="00EA09C1"/>
    <w:rsid w:val="00EA0DC2"/>
    <w:rsid w:val="00EA11CA"/>
    <w:rsid w:val="00EA16C3"/>
    <w:rsid w:val="00EA1F76"/>
    <w:rsid w:val="00EA3EB1"/>
    <w:rsid w:val="00EA3EC3"/>
    <w:rsid w:val="00EA526F"/>
    <w:rsid w:val="00EA5442"/>
    <w:rsid w:val="00EA7DA5"/>
    <w:rsid w:val="00EB150A"/>
    <w:rsid w:val="00EB2452"/>
    <w:rsid w:val="00EB24F5"/>
    <w:rsid w:val="00EB4325"/>
    <w:rsid w:val="00EB48D6"/>
    <w:rsid w:val="00EB5D68"/>
    <w:rsid w:val="00EB617E"/>
    <w:rsid w:val="00EB75B8"/>
    <w:rsid w:val="00EC10BB"/>
    <w:rsid w:val="00EC142C"/>
    <w:rsid w:val="00EC1643"/>
    <w:rsid w:val="00EC23B3"/>
    <w:rsid w:val="00EC2426"/>
    <w:rsid w:val="00EC3DA0"/>
    <w:rsid w:val="00EC4BA2"/>
    <w:rsid w:val="00EC56DC"/>
    <w:rsid w:val="00EC7B4D"/>
    <w:rsid w:val="00EC7CFD"/>
    <w:rsid w:val="00EC7F39"/>
    <w:rsid w:val="00ED0137"/>
    <w:rsid w:val="00ED0449"/>
    <w:rsid w:val="00ED0845"/>
    <w:rsid w:val="00ED0E32"/>
    <w:rsid w:val="00ED111B"/>
    <w:rsid w:val="00ED1DFD"/>
    <w:rsid w:val="00ED209B"/>
    <w:rsid w:val="00ED3658"/>
    <w:rsid w:val="00ED5799"/>
    <w:rsid w:val="00ED74DF"/>
    <w:rsid w:val="00ED7B16"/>
    <w:rsid w:val="00EE0D8D"/>
    <w:rsid w:val="00EE15F7"/>
    <w:rsid w:val="00EE1C79"/>
    <w:rsid w:val="00EE21F8"/>
    <w:rsid w:val="00EE34B9"/>
    <w:rsid w:val="00EE3D3C"/>
    <w:rsid w:val="00EE4D39"/>
    <w:rsid w:val="00EE5302"/>
    <w:rsid w:val="00EE6276"/>
    <w:rsid w:val="00EE643A"/>
    <w:rsid w:val="00EE6532"/>
    <w:rsid w:val="00EE676F"/>
    <w:rsid w:val="00EF015E"/>
    <w:rsid w:val="00EF0478"/>
    <w:rsid w:val="00EF0920"/>
    <w:rsid w:val="00EF15BD"/>
    <w:rsid w:val="00EF16AD"/>
    <w:rsid w:val="00EF16D4"/>
    <w:rsid w:val="00EF1B06"/>
    <w:rsid w:val="00EF22C6"/>
    <w:rsid w:val="00EF2D9E"/>
    <w:rsid w:val="00EF2DAB"/>
    <w:rsid w:val="00EF3567"/>
    <w:rsid w:val="00EF42F1"/>
    <w:rsid w:val="00EF4C44"/>
    <w:rsid w:val="00EF5D76"/>
    <w:rsid w:val="00EF6074"/>
    <w:rsid w:val="00EF6E41"/>
    <w:rsid w:val="00EF773F"/>
    <w:rsid w:val="00F013FD"/>
    <w:rsid w:val="00F014F6"/>
    <w:rsid w:val="00F02108"/>
    <w:rsid w:val="00F04190"/>
    <w:rsid w:val="00F04966"/>
    <w:rsid w:val="00F05445"/>
    <w:rsid w:val="00F0648A"/>
    <w:rsid w:val="00F06FFC"/>
    <w:rsid w:val="00F079F1"/>
    <w:rsid w:val="00F07D4D"/>
    <w:rsid w:val="00F10A2D"/>
    <w:rsid w:val="00F10C2D"/>
    <w:rsid w:val="00F128A1"/>
    <w:rsid w:val="00F128A2"/>
    <w:rsid w:val="00F12955"/>
    <w:rsid w:val="00F12D1E"/>
    <w:rsid w:val="00F137FA"/>
    <w:rsid w:val="00F138B4"/>
    <w:rsid w:val="00F13B93"/>
    <w:rsid w:val="00F13F39"/>
    <w:rsid w:val="00F14A28"/>
    <w:rsid w:val="00F16352"/>
    <w:rsid w:val="00F1669B"/>
    <w:rsid w:val="00F17047"/>
    <w:rsid w:val="00F217D1"/>
    <w:rsid w:val="00F21E73"/>
    <w:rsid w:val="00F21E82"/>
    <w:rsid w:val="00F22D3A"/>
    <w:rsid w:val="00F2332B"/>
    <w:rsid w:val="00F237A8"/>
    <w:rsid w:val="00F248FA"/>
    <w:rsid w:val="00F24FD4"/>
    <w:rsid w:val="00F25488"/>
    <w:rsid w:val="00F309D6"/>
    <w:rsid w:val="00F31352"/>
    <w:rsid w:val="00F32D6E"/>
    <w:rsid w:val="00F3408E"/>
    <w:rsid w:val="00F363A5"/>
    <w:rsid w:val="00F3714D"/>
    <w:rsid w:val="00F37A65"/>
    <w:rsid w:val="00F37E67"/>
    <w:rsid w:val="00F402C8"/>
    <w:rsid w:val="00F4167E"/>
    <w:rsid w:val="00F41854"/>
    <w:rsid w:val="00F42B19"/>
    <w:rsid w:val="00F42DAB"/>
    <w:rsid w:val="00F4358E"/>
    <w:rsid w:val="00F4501A"/>
    <w:rsid w:val="00F45DBE"/>
    <w:rsid w:val="00F478A9"/>
    <w:rsid w:val="00F478C6"/>
    <w:rsid w:val="00F47B9F"/>
    <w:rsid w:val="00F50116"/>
    <w:rsid w:val="00F501B3"/>
    <w:rsid w:val="00F51126"/>
    <w:rsid w:val="00F5289E"/>
    <w:rsid w:val="00F5325B"/>
    <w:rsid w:val="00F54A68"/>
    <w:rsid w:val="00F550C9"/>
    <w:rsid w:val="00F55637"/>
    <w:rsid w:val="00F55CA4"/>
    <w:rsid w:val="00F56EAB"/>
    <w:rsid w:val="00F6079D"/>
    <w:rsid w:val="00F62304"/>
    <w:rsid w:val="00F63E46"/>
    <w:rsid w:val="00F63F29"/>
    <w:rsid w:val="00F64A53"/>
    <w:rsid w:val="00F64A77"/>
    <w:rsid w:val="00F65E62"/>
    <w:rsid w:val="00F65ED6"/>
    <w:rsid w:val="00F66158"/>
    <w:rsid w:val="00F66705"/>
    <w:rsid w:val="00F667E0"/>
    <w:rsid w:val="00F67338"/>
    <w:rsid w:val="00F67EFB"/>
    <w:rsid w:val="00F70569"/>
    <w:rsid w:val="00F70794"/>
    <w:rsid w:val="00F7093E"/>
    <w:rsid w:val="00F71163"/>
    <w:rsid w:val="00F71378"/>
    <w:rsid w:val="00F71A8C"/>
    <w:rsid w:val="00F73137"/>
    <w:rsid w:val="00F752C4"/>
    <w:rsid w:val="00F758AA"/>
    <w:rsid w:val="00F75F58"/>
    <w:rsid w:val="00F760A9"/>
    <w:rsid w:val="00F76A62"/>
    <w:rsid w:val="00F77C05"/>
    <w:rsid w:val="00F77F01"/>
    <w:rsid w:val="00F817D1"/>
    <w:rsid w:val="00F81E32"/>
    <w:rsid w:val="00F82DE9"/>
    <w:rsid w:val="00F82F5B"/>
    <w:rsid w:val="00F8332B"/>
    <w:rsid w:val="00F83F2D"/>
    <w:rsid w:val="00F843B0"/>
    <w:rsid w:val="00F84BDA"/>
    <w:rsid w:val="00F85467"/>
    <w:rsid w:val="00F85A98"/>
    <w:rsid w:val="00F873C6"/>
    <w:rsid w:val="00F8787F"/>
    <w:rsid w:val="00F90D83"/>
    <w:rsid w:val="00F910E6"/>
    <w:rsid w:val="00F924D5"/>
    <w:rsid w:val="00F92807"/>
    <w:rsid w:val="00F9319B"/>
    <w:rsid w:val="00F94255"/>
    <w:rsid w:val="00F9484F"/>
    <w:rsid w:val="00F9520E"/>
    <w:rsid w:val="00F95DBB"/>
    <w:rsid w:val="00F964B2"/>
    <w:rsid w:val="00FA0BAD"/>
    <w:rsid w:val="00FA2DE6"/>
    <w:rsid w:val="00FA327E"/>
    <w:rsid w:val="00FA32C8"/>
    <w:rsid w:val="00FA3EF3"/>
    <w:rsid w:val="00FA4E92"/>
    <w:rsid w:val="00FA568D"/>
    <w:rsid w:val="00FA690F"/>
    <w:rsid w:val="00FA6A33"/>
    <w:rsid w:val="00FA7FD9"/>
    <w:rsid w:val="00FB077A"/>
    <w:rsid w:val="00FB0FF7"/>
    <w:rsid w:val="00FB17DB"/>
    <w:rsid w:val="00FB1E97"/>
    <w:rsid w:val="00FB3F72"/>
    <w:rsid w:val="00FB491B"/>
    <w:rsid w:val="00FB530C"/>
    <w:rsid w:val="00FB6DE6"/>
    <w:rsid w:val="00FB7E00"/>
    <w:rsid w:val="00FC0722"/>
    <w:rsid w:val="00FC1926"/>
    <w:rsid w:val="00FC33DD"/>
    <w:rsid w:val="00FC3744"/>
    <w:rsid w:val="00FC3987"/>
    <w:rsid w:val="00FC44F3"/>
    <w:rsid w:val="00FC450A"/>
    <w:rsid w:val="00FC473F"/>
    <w:rsid w:val="00FC59ED"/>
    <w:rsid w:val="00FC5C03"/>
    <w:rsid w:val="00FC60FE"/>
    <w:rsid w:val="00FC6C03"/>
    <w:rsid w:val="00FC73F5"/>
    <w:rsid w:val="00FC79C8"/>
    <w:rsid w:val="00FC7E0B"/>
    <w:rsid w:val="00FD0623"/>
    <w:rsid w:val="00FD2BC9"/>
    <w:rsid w:val="00FD2DAA"/>
    <w:rsid w:val="00FD2F81"/>
    <w:rsid w:val="00FD359D"/>
    <w:rsid w:val="00FD3989"/>
    <w:rsid w:val="00FD555D"/>
    <w:rsid w:val="00FD5A46"/>
    <w:rsid w:val="00FD6CF6"/>
    <w:rsid w:val="00FD747C"/>
    <w:rsid w:val="00FD7657"/>
    <w:rsid w:val="00FD7C6F"/>
    <w:rsid w:val="00FD7D64"/>
    <w:rsid w:val="00FD7E6B"/>
    <w:rsid w:val="00FE117C"/>
    <w:rsid w:val="00FE1233"/>
    <w:rsid w:val="00FE2D3F"/>
    <w:rsid w:val="00FE3B1D"/>
    <w:rsid w:val="00FE4D89"/>
    <w:rsid w:val="00FE5217"/>
    <w:rsid w:val="00FE57C9"/>
    <w:rsid w:val="00FE5EF1"/>
    <w:rsid w:val="00FE708B"/>
    <w:rsid w:val="00FF074B"/>
    <w:rsid w:val="00FF2E26"/>
    <w:rsid w:val="00FF33B3"/>
    <w:rsid w:val="00FF42C6"/>
    <w:rsid w:val="00FF55DF"/>
    <w:rsid w:val="00FF699D"/>
    <w:rsid w:val="00FF7446"/>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561B"/>
  <w15:docId w15:val="{1D94DD87-B12A-4BD5-A3F5-F4AC075A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BCF"/>
    <w:pPr>
      <w:spacing w:after="160" w:line="259" w:lineRule="auto"/>
    </w:pPr>
    <w:rPr>
      <w:rFonts w:ascii="Times New Roman" w:hAnsi="Times New Roman"/>
      <w:sz w:val="28"/>
      <w:szCs w:val="22"/>
    </w:rPr>
  </w:style>
  <w:style w:type="paragraph" w:styleId="Heading2">
    <w:name w:val="heading 2"/>
    <w:basedOn w:val="Normal"/>
    <w:link w:val="Heading2Char"/>
    <w:uiPriority w:val="9"/>
    <w:qFormat/>
    <w:rsid w:val="00074E24"/>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rsid w:val="00C82BCF"/>
    <w:rPr>
      <w:rFonts w:ascii="Times New Roman" w:hAnsi="Times New Roman"/>
      <w:sz w:val="20"/>
      <w:szCs w:val="20"/>
    </w:rPr>
  </w:style>
  <w:style w:type="paragraph" w:styleId="FootnoteText">
    <w:name w:val="footnote text"/>
    <w:basedOn w:val="Normal"/>
    <w:link w:val="FootnoteTextChar"/>
    <w:uiPriority w:val="99"/>
    <w:unhideWhenUsed/>
    <w:rsid w:val="00C82BCF"/>
    <w:pPr>
      <w:spacing w:after="0" w:line="240" w:lineRule="auto"/>
    </w:pPr>
    <w:rPr>
      <w:sz w:val="20"/>
      <w:szCs w:val="20"/>
    </w:rPr>
  </w:style>
  <w:style w:type="character" w:customStyle="1" w:styleId="HeaderChar">
    <w:name w:val="Header Char"/>
    <w:link w:val="Header"/>
    <w:uiPriority w:val="99"/>
    <w:rsid w:val="00C82BCF"/>
    <w:rPr>
      <w:rFonts w:ascii="Times New Roman" w:hAnsi="Times New Roman"/>
      <w:sz w:val="28"/>
    </w:rPr>
  </w:style>
  <w:style w:type="paragraph" w:styleId="Header">
    <w:name w:val="header"/>
    <w:basedOn w:val="Normal"/>
    <w:link w:val="HeaderChar"/>
    <w:uiPriority w:val="99"/>
    <w:unhideWhenUsed/>
    <w:rsid w:val="00C82BCF"/>
    <w:pPr>
      <w:tabs>
        <w:tab w:val="center" w:pos="4680"/>
        <w:tab w:val="right" w:pos="9360"/>
      </w:tabs>
      <w:spacing w:after="0" w:line="240" w:lineRule="auto"/>
    </w:pPr>
    <w:rPr>
      <w:szCs w:val="20"/>
    </w:rPr>
  </w:style>
  <w:style w:type="character" w:customStyle="1" w:styleId="FooterChar">
    <w:name w:val="Footer Char"/>
    <w:link w:val="Footer"/>
    <w:uiPriority w:val="99"/>
    <w:rsid w:val="00C82BCF"/>
    <w:rPr>
      <w:rFonts w:ascii="Times New Roman" w:hAnsi="Times New Roman"/>
      <w:sz w:val="28"/>
    </w:rPr>
  </w:style>
  <w:style w:type="paragraph" w:styleId="Footer">
    <w:name w:val="footer"/>
    <w:basedOn w:val="Normal"/>
    <w:link w:val="FooterChar"/>
    <w:uiPriority w:val="99"/>
    <w:unhideWhenUsed/>
    <w:rsid w:val="00C82BCF"/>
    <w:pPr>
      <w:tabs>
        <w:tab w:val="center" w:pos="4680"/>
        <w:tab w:val="right" w:pos="9360"/>
      </w:tabs>
      <w:spacing w:after="0" w:line="240" w:lineRule="auto"/>
    </w:pPr>
    <w:rPr>
      <w:szCs w:val="20"/>
    </w:rPr>
  </w:style>
  <w:style w:type="character" w:customStyle="1" w:styleId="CommentTextChar">
    <w:name w:val="Comment Text Char"/>
    <w:link w:val="CommentText"/>
    <w:uiPriority w:val="99"/>
    <w:semiHidden/>
    <w:rsid w:val="00C82BCF"/>
    <w:rPr>
      <w:rFonts w:ascii="Times New Roman" w:hAnsi="Times New Roman"/>
      <w:sz w:val="20"/>
      <w:szCs w:val="20"/>
    </w:rPr>
  </w:style>
  <w:style w:type="paragraph" w:styleId="CommentText">
    <w:name w:val="annotation text"/>
    <w:basedOn w:val="Normal"/>
    <w:link w:val="CommentTextChar"/>
    <w:uiPriority w:val="99"/>
    <w:semiHidden/>
    <w:unhideWhenUsed/>
    <w:rsid w:val="00C82BCF"/>
    <w:pPr>
      <w:spacing w:line="240" w:lineRule="auto"/>
    </w:pPr>
    <w:rPr>
      <w:sz w:val="20"/>
      <w:szCs w:val="20"/>
    </w:rPr>
  </w:style>
  <w:style w:type="character" w:customStyle="1" w:styleId="CommentSubjectChar">
    <w:name w:val="Comment Subject Char"/>
    <w:link w:val="CommentSubject"/>
    <w:uiPriority w:val="99"/>
    <w:semiHidden/>
    <w:rsid w:val="00C82BCF"/>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C82BCF"/>
    <w:rPr>
      <w:b/>
      <w:bCs/>
    </w:rPr>
  </w:style>
  <w:style w:type="character" w:customStyle="1" w:styleId="BalloonTextChar">
    <w:name w:val="Balloon Text Char"/>
    <w:link w:val="BalloonText"/>
    <w:uiPriority w:val="99"/>
    <w:semiHidden/>
    <w:rsid w:val="00C82BCF"/>
    <w:rPr>
      <w:rFonts w:ascii="Tahoma" w:hAnsi="Tahoma" w:cs="Tahoma"/>
      <w:sz w:val="16"/>
      <w:szCs w:val="16"/>
    </w:rPr>
  </w:style>
  <w:style w:type="paragraph" w:styleId="BalloonText">
    <w:name w:val="Balloon Text"/>
    <w:basedOn w:val="Normal"/>
    <w:link w:val="BalloonTextChar"/>
    <w:uiPriority w:val="99"/>
    <w:semiHidden/>
    <w:unhideWhenUsed/>
    <w:rsid w:val="00C82BCF"/>
    <w:pPr>
      <w:spacing w:after="0" w:line="240" w:lineRule="auto"/>
    </w:pPr>
    <w:rPr>
      <w:rFonts w:ascii="Tahoma" w:hAnsi="Tahoma"/>
      <w:sz w:val="16"/>
      <w:szCs w:val="16"/>
    </w:rPr>
  </w:style>
  <w:style w:type="character" w:styleId="FootnoteReference">
    <w:name w:val="footnote reference"/>
    <w:uiPriority w:val="99"/>
    <w:semiHidden/>
    <w:unhideWhenUsed/>
    <w:rsid w:val="00C82BCF"/>
    <w:rPr>
      <w:vertAlign w:val="superscript"/>
    </w:rPr>
  </w:style>
  <w:style w:type="table" w:customStyle="1" w:styleId="GridTable6Colorful-Accent11">
    <w:name w:val="Grid Table 6 Colorful - Accent 11"/>
    <w:basedOn w:val="TableNormal"/>
    <w:uiPriority w:val="51"/>
    <w:rsid w:val="00947C67"/>
    <w:rPr>
      <w:rFonts w:ascii="Times New Roman" w:hAnsi="Times New Roman"/>
      <w:color w:val="365F91"/>
      <w:sz w:val="28"/>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ListParagraph">
    <w:name w:val="List Paragraph"/>
    <w:basedOn w:val="Normal"/>
    <w:uiPriority w:val="34"/>
    <w:qFormat/>
    <w:rsid w:val="002020F2"/>
    <w:pPr>
      <w:ind w:left="720"/>
      <w:contextualSpacing/>
    </w:pPr>
  </w:style>
  <w:style w:type="table" w:styleId="TableGrid">
    <w:name w:val="Table Grid"/>
    <w:basedOn w:val="TableNormal"/>
    <w:uiPriority w:val="39"/>
    <w:rsid w:val="0056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10C2D"/>
    <w:rPr>
      <w:sz w:val="16"/>
      <w:szCs w:val="16"/>
    </w:rPr>
  </w:style>
  <w:style w:type="paragraph" w:styleId="Revision">
    <w:name w:val="Revision"/>
    <w:hidden/>
    <w:uiPriority w:val="99"/>
    <w:semiHidden/>
    <w:rsid w:val="00F10C2D"/>
    <w:rPr>
      <w:rFonts w:ascii="Times New Roman" w:hAnsi="Times New Roman"/>
      <w:sz w:val="28"/>
      <w:szCs w:val="22"/>
    </w:rPr>
  </w:style>
  <w:style w:type="table" w:customStyle="1" w:styleId="GridTable4-Accent11">
    <w:name w:val="Grid Table 4 - Accent 11"/>
    <w:basedOn w:val="TableNormal"/>
    <w:uiPriority w:val="49"/>
    <w:rsid w:val="00486020"/>
    <w:rPr>
      <w:rFonts w:ascii="Times New Roman" w:eastAsiaTheme="minorHAnsi" w:hAnsi="Times New Roman" w:cstheme="minorBidi"/>
      <w:sz w:val="28"/>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F05445"/>
    <w:pPr>
      <w:spacing w:before="100" w:beforeAutospacing="1" w:after="100" w:afterAutospacing="1" w:line="240" w:lineRule="auto"/>
    </w:pPr>
    <w:rPr>
      <w:rFonts w:eastAsia="Times New Roman"/>
      <w:sz w:val="24"/>
      <w:szCs w:val="24"/>
    </w:rPr>
  </w:style>
  <w:style w:type="table" w:customStyle="1" w:styleId="GridTable4-Accent21">
    <w:name w:val="Grid Table 4 - Accent 21"/>
    <w:basedOn w:val="TableNormal"/>
    <w:uiPriority w:val="49"/>
    <w:rsid w:val="0053273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163824"/>
    <w:rPr>
      <w:color w:val="0000FF"/>
      <w:u w:val="single"/>
    </w:rPr>
  </w:style>
  <w:style w:type="character" w:customStyle="1" w:styleId="fontstyle01">
    <w:name w:val="fontstyle01"/>
    <w:basedOn w:val="DefaultParagraphFont"/>
    <w:rsid w:val="00823FC1"/>
    <w:rPr>
      <w:rFonts w:ascii="ArialMT" w:hAnsi="ArialMT" w:hint="default"/>
      <w:b w:val="0"/>
      <w:bCs w:val="0"/>
      <w:i w:val="0"/>
      <w:iCs w:val="0"/>
      <w:color w:val="000000"/>
      <w:sz w:val="20"/>
      <w:szCs w:val="20"/>
    </w:rPr>
  </w:style>
  <w:style w:type="table" w:customStyle="1" w:styleId="GridTable6Colorful-Accent12">
    <w:name w:val="Grid Table 6 Colorful - Accent 12"/>
    <w:basedOn w:val="TableNormal"/>
    <w:uiPriority w:val="51"/>
    <w:rsid w:val="00FA4E9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074E24"/>
    <w:rPr>
      <w:rFonts w:ascii="Times New Roman" w:eastAsia="Times New Roman" w:hAnsi="Times New Roman"/>
      <w:b/>
      <w:bCs/>
      <w:sz w:val="36"/>
      <w:szCs w:val="36"/>
    </w:rPr>
  </w:style>
  <w:style w:type="table" w:customStyle="1" w:styleId="GridTable6Colorful-Accent13">
    <w:name w:val="Grid Table 6 Colorful - Accent 13"/>
    <w:basedOn w:val="TableNormal"/>
    <w:uiPriority w:val="51"/>
    <w:rsid w:val="00B800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D279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5474">
      <w:bodyDiv w:val="1"/>
      <w:marLeft w:val="0"/>
      <w:marRight w:val="0"/>
      <w:marTop w:val="0"/>
      <w:marBottom w:val="0"/>
      <w:divBdr>
        <w:top w:val="none" w:sz="0" w:space="0" w:color="auto"/>
        <w:left w:val="none" w:sz="0" w:space="0" w:color="auto"/>
        <w:bottom w:val="none" w:sz="0" w:space="0" w:color="auto"/>
        <w:right w:val="none" w:sz="0" w:space="0" w:color="auto"/>
      </w:divBdr>
    </w:div>
    <w:div w:id="116723268">
      <w:bodyDiv w:val="1"/>
      <w:marLeft w:val="0"/>
      <w:marRight w:val="0"/>
      <w:marTop w:val="0"/>
      <w:marBottom w:val="0"/>
      <w:divBdr>
        <w:top w:val="none" w:sz="0" w:space="0" w:color="auto"/>
        <w:left w:val="none" w:sz="0" w:space="0" w:color="auto"/>
        <w:bottom w:val="none" w:sz="0" w:space="0" w:color="auto"/>
        <w:right w:val="none" w:sz="0" w:space="0" w:color="auto"/>
      </w:divBdr>
    </w:div>
    <w:div w:id="132144413">
      <w:bodyDiv w:val="1"/>
      <w:marLeft w:val="0"/>
      <w:marRight w:val="0"/>
      <w:marTop w:val="0"/>
      <w:marBottom w:val="0"/>
      <w:divBdr>
        <w:top w:val="none" w:sz="0" w:space="0" w:color="auto"/>
        <w:left w:val="none" w:sz="0" w:space="0" w:color="auto"/>
        <w:bottom w:val="none" w:sz="0" w:space="0" w:color="auto"/>
        <w:right w:val="none" w:sz="0" w:space="0" w:color="auto"/>
      </w:divBdr>
    </w:div>
    <w:div w:id="135413109">
      <w:bodyDiv w:val="1"/>
      <w:marLeft w:val="0"/>
      <w:marRight w:val="0"/>
      <w:marTop w:val="0"/>
      <w:marBottom w:val="0"/>
      <w:divBdr>
        <w:top w:val="none" w:sz="0" w:space="0" w:color="auto"/>
        <w:left w:val="none" w:sz="0" w:space="0" w:color="auto"/>
        <w:bottom w:val="none" w:sz="0" w:space="0" w:color="auto"/>
        <w:right w:val="none" w:sz="0" w:space="0" w:color="auto"/>
      </w:divBdr>
    </w:div>
    <w:div w:id="139735324">
      <w:bodyDiv w:val="1"/>
      <w:marLeft w:val="0"/>
      <w:marRight w:val="0"/>
      <w:marTop w:val="0"/>
      <w:marBottom w:val="0"/>
      <w:divBdr>
        <w:top w:val="none" w:sz="0" w:space="0" w:color="auto"/>
        <w:left w:val="none" w:sz="0" w:space="0" w:color="auto"/>
        <w:bottom w:val="none" w:sz="0" w:space="0" w:color="auto"/>
        <w:right w:val="none" w:sz="0" w:space="0" w:color="auto"/>
      </w:divBdr>
    </w:div>
    <w:div w:id="158665556">
      <w:bodyDiv w:val="1"/>
      <w:marLeft w:val="0"/>
      <w:marRight w:val="0"/>
      <w:marTop w:val="0"/>
      <w:marBottom w:val="0"/>
      <w:divBdr>
        <w:top w:val="none" w:sz="0" w:space="0" w:color="auto"/>
        <w:left w:val="none" w:sz="0" w:space="0" w:color="auto"/>
        <w:bottom w:val="none" w:sz="0" w:space="0" w:color="auto"/>
        <w:right w:val="none" w:sz="0" w:space="0" w:color="auto"/>
      </w:divBdr>
    </w:div>
    <w:div w:id="249511961">
      <w:bodyDiv w:val="1"/>
      <w:marLeft w:val="0"/>
      <w:marRight w:val="0"/>
      <w:marTop w:val="0"/>
      <w:marBottom w:val="0"/>
      <w:divBdr>
        <w:top w:val="none" w:sz="0" w:space="0" w:color="auto"/>
        <w:left w:val="none" w:sz="0" w:space="0" w:color="auto"/>
        <w:bottom w:val="none" w:sz="0" w:space="0" w:color="auto"/>
        <w:right w:val="none" w:sz="0" w:space="0" w:color="auto"/>
      </w:divBdr>
    </w:div>
    <w:div w:id="268896401">
      <w:bodyDiv w:val="1"/>
      <w:marLeft w:val="0"/>
      <w:marRight w:val="0"/>
      <w:marTop w:val="0"/>
      <w:marBottom w:val="0"/>
      <w:divBdr>
        <w:top w:val="none" w:sz="0" w:space="0" w:color="auto"/>
        <w:left w:val="none" w:sz="0" w:space="0" w:color="auto"/>
        <w:bottom w:val="none" w:sz="0" w:space="0" w:color="auto"/>
        <w:right w:val="none" w:sz="0" w:space="0" w:color="auto"/>
      </w:divBdr>
    </w:div>
    <w:div w:id="312024393">
      <w:bodyDiv w:val="1"/>
      <w:marLeft w:val="0"/>
      <w:marRight w:val="0"/>
      <w:marTop w:val="0"/>
      <w:marBottom w:val="0"/>
      <w:divBdr>
        <w:top w:val="none" w:sz="0" w:space="0" w:color="auto"/>
        <w:left w:val="none" w:sz="0" w:space="0" w:color="auto"/>
        <w:bottom w:val="none" w:sz="0" w:space="0" w:color="auto"/>
        <w:right w:val="none" w:sz="0" w:space="0" w:color="auto"/>
      </w:divBdr>
      <w:divsChild>
        <w:div w:id="789126377">
          <w:marLeft w:val="0"/>
          <w:marRight w:val="0"/>
          <w:marTop w:val="0"/>
          <w:marBottom w:val="0"/>
          <w:divBdr>
            <w:top w:val="none" w:sz="0" w:space="0" w:color="auto"/>
            <w:left w:val="none" w:sz="0" w:space="0" w:color="auto"/>
            <w:bottom w:val="single" w:sz="6" w:space="11" w:color="D9D9D9"/>
            <w:right w:val="none" w:sz="0" w:space="0" w:color="auto"/>
          </w:divBdr>
          <w:divsChild>
            <w:div w:id="323243172">
              <w:marLeft w:val="0"/>
              <w:marRight w:val="0"/>
              <w:marTop w:val="0"/>
              <w:marBottom w:val="0"/>
              <w:divBdr>
                <w:top w:val="none" w:sz="0" w:space="0" w:color="auto"/>
                <w:left w:val="none" w:sz="0" w:space="0" w:color="auto"/>
                <w:bottom w:val="none" w:sz="0" w:space="0" w:color="auto"/>
                <w:right w:val="none" w:sz="0" w:space="0" w:color="auto"/>
              </w:divBdr>
            </w:div>
            <w:div w:id="1012806621">
              <w:marLeft w:val="0"/>
              <w:marRight w:val="0"/>
              <w:marTop w:val="0"/>
              <w:marBottom w:val="0"/>
              <w:divBdr>
                <w:top w:val="none" w:sz="0" w:space="0" w:color="auto"/>
                <w:left w:val="none" w:sz="0" w:space="0" w:color="auto"/>
                <w:bottom w:val="none" w:sz="0" w:space="0" w:color="auto"/>
                <w:right w:val="none" w:sz="0" w:space="0" w:color="auto"/>
              </w:divBdr>
              <w:divsChild>
                <w:div w:id="630407287">
                  <w:marLeft w:val="0"/>
                  <w:marRight w:val="0"/>
                  <w:marTop w:val="0"/>
                  <w:marBottom w:val="0"/>
                  <w:divBdr>
                    <w:top w:val="none" w:sz="0" w:space="0" w:color="auto"/>
                    <w:left w:val="none" w:sz="0" w:space="0" w:color="auto"/>
                    <w:bottom w:val="none" w:sz="0" w:space="0" w:color="auto"/>
                    <w:right w:val="none" w:sz="0" w:space="0" w:color="auto"/>
                  </w:divBdr>
                  <w:divsChild>
                    <w:div w:id="1212303476">
                      <w:marLeft w:val="0"/>
                      <w:marRight w:val="0"/>
                      <w:marTop w:val="0"/>
                      <w:marBottom w:val="0"/>
                      <w:divBdr>
                        <w:top w:val="none" w:sz="0" w:space="0" w:color="auto"/>
                        <w:left w:val="none" w:sz="0" w:space="0" w:color="auto"/>
                        <w:bottom w:val="none" w:sz="0" w:space="0" w:color="auto"/>
                        <w:right w:val="none" w:sz="0" w:space="0" w:color="auto"/>
                      </w:divBdr>
                      <w:divsChild>
                        <w:div w:id="1116799255">
                          <w:marLeft w:val="0"/>
                          <w:marRight w:val="0"/>
                          <w:marTop w:val="0"/>
                          <w:marBottom w:val="0"/>
                          <w:divBdr>
                            <w:top w:val="none" w:sz="0" w:space="0" w:color="auto"/>
                            <w:left w:val="none" w:sz="0" w:space="0" w:color="auto"/>
                            <w:bottom w:val="none" w:sz="0" w:space="0" w:color="auto"/>
                            <w:right w:val="none" w:sz="0" w:space="0" w:color="auto"/>
                          </w:divBdr>
                          <w:divsChild>
                            <w:div w:id="907688449">
                              <w:marLeft w:val="0"/>
                              <w:marRight w:val="0"/>
                              <w:marTop w:val="0"/>
                              <w:marBottom w:val="0"/>
                              <w:divBdr>
                                <w:top w:val="none" w:sz="0" w:space="0" w:color="auto"/>
                                <w:left w:val="none" w:sz="0" w:space="0" w:color="auto"/>
                                <w:bottom w:val="none" w:sz="0" w:space="0" w:color="auto"/>
                                <w:right w:val="none" w:sz="0" w:space="0" w:color="auto"/>
                              </w:divBdr>
                              <w:divsChild>
                                <w:div w:id="1106578267">
                                  <w:marLeft w:val="0"/>
                                  <w:marRight w:val="0"/>
                                  <w:marTop w:val="0"/>
                                  <w:marBottom w:val="0"/>
                                  <w:divBdr>
                                    <w:top w:val="none" w:sz="0" w:space="0" w:color="auto"/>
                                    <w:left w:val="none" w:sz="0" w:space="0" w:color="auto"/>
                                    <w:bottom w:val="none" w:sz="0" w:space="0" w:color="auto"/>
                                    <w:right w:val="none" w:sz="0" w:space="0" w:color="auto"/>
                                  </w:divBdr>
                                  <w:divsChild>
                                    <w:div w:id="1992174039">
                                      <w:marLeft w:val="0"/>
                                      <w:marRight w:val="0"/>
                                      <w:marTop w:val="0"/>
                                      <w:marBottom w:val="0"/>
                                      <w:divBdr>
                                        <w:top w:val="none" w:sz="0" w:space="0" w:color="auto"/>
                                        <w:left w:val="none" w:sz="0" w:space="0" w:color="auto"/>
                                        <w:bottom w:val="none" w:sz="0" w:space="0" w:color="auto"/>
                                        <w:right w:val="none" w:sz="0" w:space="0" w:color="auto"/>
                                      </w:divBdr>
                                      <w:divsChild>
                                        <w:div w:id="596908143">
                                          <w:marLeft w:val="0"/>
                                          <w:marRight w:val="0"/>
                                          <w:marTop w:val="0"/>
                                          <w:marBottom w:val="0"/>
                                          <w:divBdr>
                                            <w:top w:val="none" w:sz="0" w:space="0" w:color="auto"/>
                                            <w:left w:val="none" w:sz="0" w:space="0" w:color="auto"/>
                                            <w:bottom w:val="none" w:sz="0" w:space="0" w:color="auto"/>
                                            <w:right w:val="none" w:sz="0" w:space="0" w:color="auto"/>
                                          </w:divBdr>
                                          <w:divsChild>
                                            <w:div w:id="11938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97055">
          <w:marLeft w:val="0"/>
          <w:marRight w:val="0"/>
          <w:marTop w:val="0"/>
          <w:marBottom w:val="0"/>
          <w:divBdr>
            <w:top w:val="none" w:sz="0" w:space="0" w:color="auto"/>
            <w:left w:val="none" w:sz="0" w:space="0" w:color="auto"/>
            <w:bottom w:val="none" w:sz="0" w:space="0" w:color="auto"/>
            <w:right w:val="none" w:sz="0" w:space="0" w:color="auto"/>
          </w:divBdr>
          <w:divsChild>
            <w:div w:id="479689359">
              <w:marLeft w:val="0"/>
              <w:marRight w:val="0"/>
              <w:marTop w:val="360"/>
              <w:marBottom w:val="0"/>
              <w:divBdr>
                <w:top w:val="none" w:sz="0" w:space="0" w:color="auto"/>
                <w:left w:val="none" w:sz="0" w:space="0" w:color="auto"/>
                <w:bottom w:val="none" w:sz="0" w:space="0" w:color="auto"/>
                <w:right w:val="none" w:sz="0" w:space="0" w:color="auto"/>
              </w:divBdr>
            </w:div>
            <w:div w:id="575746455">
              <w:marLeft w:val="0"/>
              <w:marRight w:val="0"/>
              <w:marTop w:val="150"/>
              <w:marBottom w:val="0"/>
              <w:divBdr>
                <w:top w:val="none" w:sz="0" w:space="0" w:color="auto"/>
                <w:left w:val="none" w:sz="0" w:space="0" w:color="auto"/>
                <w:bottom w:val="none" w:sz="0" w:space="0" w:color="auto"/>
                <w:right w:val="none" w:sz="0" w:space="0" w:color="auto"/>
              </w:divBdr>
              <w:divsChild>
                <w:div w:id="3162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0014">
      <w:bodyDiv w:val="1"/>
      <w:marLeft w:val="0"/>
      <w:marRight w:val="0"/>
      <w:marTop w:val="0"/>
      <w:marBottom w:val="0"/>
      <w:divBdr>
        <w:top w:val="none" w:sz="0" w:space="0" w:color="auto"/>
        <w:left w:val="none" w:sz="0" w:space="0" w:color="auto"/>
        <w:bottom w:val="none" w:sz="0" w:space="0" w:color="auto"/>
        <w:right w:val="none" w:sz="0" w:space="0" w:color="auto"/>
      </w:divBdr>
    </w:div>
    <w:div w:id="322852386">
      <w:bodyDiv w:val="1"/>
      <w:marLeft w:val="0"/>
      <w:marRight w:val="0"/>
      <w:marTop w:val="0"/>
      <w:marBottom w:val="0"/>
      <w:divBdr>
        <w:top w:val="none" w:sz="0" w:space="0" w:color="auto"/>
        <w:left w:val="none" w:sz="0" w:space="0" w:color="auto"/>
        <w:bottom w:val="none" w:sz="0" w:space="0" w:color="auto"/>
        <w:right w:val="none" w:sz="0" w:space="0" w:color="auto"/>
      </w:divBdr>
    </w:div>
    <w:div w:id="330304722">
      <w:bodyDiv w:val="1"/>
      <w:marLeft w:val="0"/>
      <w:marRight w:val="0"/>
      <w:marTop w:val="0"/>
      <w:marBottom w:val="0"/>
      <w:divBdr>
        <w:top w:val="none" w:sz="0" w:space="0" w:color="auto"/>
        <w:left w:val="none" w:sz="0" w:space="0" w:color="auto"/>
        <w:bottom w:val="none" w:sz="0" w:space="0" w:color="auto"/>
        <w:right w:val="none" w:sz="0" w:space="0" w:color="auto"/>
      </w:divBdr>
    </w:div>
    <w:div w:id="332730194">
      <w:bodyDiv w:val="1"/>
      <w:marLeft w:val="0"/>
      <w:marRight w:val="0"/>
      <w:marTop w:val="0"/>
      <w:marBottom w:val="0"/>
      <w:divBdr>
        <w:top w:val="none" w:sz="0" w:space="0" w:color="auto"/>
        <w:left w:val="none" w:sz="0" w:space="0" w:color="auto"/>
        <w:bottom w:val="none" w:sz="0" w:space="0" w:color="auto"/>
        <w:right w:val="none" w:sz="0" w:space="0" w:color="auto"/>
      </w:divBdr>
    </w:div>
    <w:div w:id="385229026">
      <w:bodyDiv w:val="1"/>
      <w:marLeft w:val="0"/>
      <w:marRight w:val="0"/>
      <w:marTop w:val="0"/>
      <w:marBottom w:val="0"/>
      <w:divBdr>
        <w:top w:val="none" w:sz="0" w:space="0" w:color="auto"/>
        <w:left w:val="none" w:sz="0" w:space="0" w:color="auto"/>
        <w:bottom w:val="none" w:sz="0" w:space="0" w:color="auto"/>
        <w:right w:val="none" w:sz="0" w:space="0" w:color="auto"/>
      </w:divBdr>
    </w:div>
    <w:div w:id="489518301">
      <w:bodyDiv w:val="1"/>
      <w:marLeft w:val="0"/>
      <w:marRight w:val="0"/>
      <w:marTop w:val="0"/>
      <w:marBottom w:val="0"/>
      <w:divBdr>
        <w:top w:val="none" w:sz="0" w:space="0" w:color="auto"/>
        <w:left w:val="none" w:sz="0" w:space="0" w:color="auto"/>
        <w:bottom w:val="none" w:sz="0" w:space="0" w:color="auto"/>
        <w:right w:val="none" w:sz="0" w:space="0" w:color="auto"/>
      </w:divBdr>
    </w:div>
    <w:div w:id="491869582">
      <w:bodyDiv w:val="1"/>
      <w:marLeft w:val="0"/>
      <w:marRight w:val="0"/>
      <w:marTop w:val="0"/>
      <w:marBottom w:val="0"/>
      <w:divBdr>
        <w:top w:val="none" w:sz="0" w:space="0" w:color="auto"/>
        <w:left w:val="none" w:sz="0" w:space="0" w:color="auto"/>
        <w:bottom w:val="none" w:sz="0" w:space="0" w:color="auto"/>
        <w:right w:val="none" w:sz="0" w:space="0" w:color="auto"/>
      </w:divBdr>
    </w:div>
    <w:div w:id="507645076">
      <w:bodyDiv w:val="1"/>
      <w:marLeft w:val="0"/>
      <w:marRight w:val="0"/>
      <w:marTop w:val="0"/>
      <w:marBottom w:val="0"/>
      <w:divBdr>
        <w:top w:val="none" w:sz="0" w:space="0" w:color="auto"/>
        <w:left w:val="none" w:sz="0" w:space="0" w:color="auto"/>
        <w:bottom w:val="none" w:sz="0" w:space="0" w:color="auto"/>
        <w:right w:val="none" w:sz="0" w:space="0" w:color="auto"/>
      </w:divBdr>
    </w:div>
    <w:div w:id="543249983">
      <w:bodyDiv w:val="1"/>
      <w:marLeft w:val="0"/>
      <w:marRight w:val="0"/>
      <w:marTop w:val="0"/>
      <w:marBottom w:val="0"/>
      <w:divBdr>
        <w:top w:val="none" w:sz="0" w:space="0" w:color="auto"/>
        <w:left w:val="none" w:sz="0" w:space="0" w:color="auto"/>
        <w:bottom w:val="none" w:sz="0" w:space="0" w:color="auto"/>
        <w:right w:val="none" w:sz="0" w:space="0" w:color="auto"/>
      </w:divBdr>
    </w:div>
    <w:div w:id="667947412">
      <w:bodyDiv w:val="1"/>
      <w:marLeft w:val="0"/>
      <w:marRight w:val="0"/>
      <w:marTop w:val="0"/>
      <w:marBottom w:val="0"/>
      <w:divBdr>
        <w:top w:val="none" w:sz="0" w:space="0" w:color="auto"/>
        <w:left w:val="none" w:sz="0" w:space="0" w:color="auto"/>
        <w:bottom w:val="none" w:sz="0" w:space="0" w:color="auto"/>
        <w:right w:val="none" w:sz="0" w:space="0" w:color="auto"/>
      </w:divBdr>
    </w:div>
    <w:div w:id="704140909">
      <w:bodyDiv w:val="1"/>
      <w:marLeft w:val="0"/>
      <w:marRight w:val="0"/>
      <w:marTop w:val="0"/>
      <w:marBottom w:val="0"/>
      <w:divBdr>
        <w:top w:val="none" w:sz="0" w:space="0" w:color="auto"/>
        <w:left w:val="none" w:sz="0" w:space="0" w:color="auto"/>
        <w:bottom w:val="none" w:sz="0" w:space="0" w:color="auto"/>
        <w:right w:val="none" w:sz="0" w:space="0" w:color="auto"/>
      </w:divBdr>
    </w:div>
    <w:div w:id="708727384">
      <w:bodyDiv w:val="1"/>
      <w:marLeft w:val="0"/>
      <w:marRight w:val="0"/>
      <w:marTop w:val="0"/>
      <w:marBottom w:val="0"/>
      <w:divBdr>
        <w:top w:val="none" w:sz="0" w:space="0" w:color="auto"/>
        <w:left w:val="none" w:sz="0" w:space="0" w:color="auto"/>
        <w:bottom w:val="none" w:sz="0" w:space="0" w:color="auto"/>
        <w:right w:val="none" w:sz="0" w:space="0" w:color="auto"/>
      </w:divBdr>
    </w:div>
    <w:div w:id="710542755">
      <w:bodyDiv w:val="1"/>
      <w:marLeft w:val="0"/>
      <w:marRight w:val="0"/>
      <w:marTop w:val="0"/>
      <w:marBottom w:val="0"/>
      <w:divBdr>
        <w:top w:val="none" w:sz="0" w:space="0" w:color="auto"/>
        <w:left w:val="none" w:sz="0" w:space="0" w:color="auto"/>
        <w:bottom w:val="none" w:sz="0" w:space="0" w:color="auto"/>
        <w:right w:val="none" w:sz="0" w:space="0" w:color="auto"/>
      </w:divBdr>
    </w:div>
    <w:div w:id="728960721">
      <w:bodyDiv w:val="1"/>
      <w:marLeft w:val="0"/>
      <w:marRight w:val="0"/>
      <w:marTop w:val="0"/>
      <w:marBottom w:val="0"/>
      <w:divBdr>
        <w:top w:val="none" w:sz="0" w:space="0" w:color="auto"/>
        <w:left w:val="none" w:sz="0" w:space="0" w:color="auto"/>
        <w:bottom w:val="none" w:sz="0" w:space="0" w:color="auto"/>
        <w:right w:val="none" w:sz="0" w:space="0" w:color="auto"/>
      </w:divBdr>
    </w:div>
    <w:div w:id="812648161">
      <w:bodyDiv w:val="1"/>
      <w:marLeft w:val="0"/>
      <w:marRight w:val="0"/>
      <w:marTop w:val="0"/>
      <w:marBottom w:val="0"/>
      <w:divBdr>
        <w:top w:val="none" w:sz="0" w:space="0" w:color="auto"/>
        <w:left w:val="none" w:sz="0" w:space="0" w:color="auto"/>
        <w:bottom w:val="none" w:sz="0" w:space="0" w:color="auto"/>
        <w:right w:val="none" w:sz="0" w:space="0" w:color="auto"/>
      </w:divBdr>
    </w:div>
    <w:div w:id="836383912">
      <w:bodyDiv w:val="1"/>
      <w:marLeft w:val="0"/>
      <w:marRight w:val="0"/>
      <w:marTop w:val="0"/>
      <w:marBottom w:val="0"/>
      <w:divBdr>
        <w:top w:val="none" w:sz="0" w:space="0" w:color="auto"/>
        <w:left w:val="none" w:sz="0" w:space="0" w:color="auto"/>
        <w:bottom w:val="none" w:sz="0" w:space="0" w:color="auto"/>
        <w:right w:val="none" w:sz="0" w:space="0" w:color="auto"/>
      </w:divBdr>
      <w:divsChild>
        <w:div w:id="159784036">
          <w:marLeft w:val="0"/>
          <w:marRight w:val="0"/>
          <w:marTop w:val="0"/>
          <w:marBottom w:val="0"/>
          <w:divBdr>
            <w:top w:val="none" w:sz="0" w:space="0" w:color="auto"/>
            <w:left w:val="none" w:sz="0" w:space="0" w:color="auto"/>
            <w:bottom w:val="none" w:sz="0" w:space="0" w:color="auto"/>
            <w:right w:val="none" w:sz="0" w:space="0" w:color="auto"/>
          </w:divBdr>
          <w:divsChild>
            <w:div w:id="12362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7523">
      <w:bodyDiv w:val="1"/>
      <w:marLeft w:val="0"/>
      <w:marRight w:val="0"/>
      <w:marTop w:val="0"/>
      <w:marBottom w:val="0"/>
      <w:divBdr>
        <w:top w:val="none" w:sz="0" w:space="0" w:color="auto"/>
        <w:left w:val="none" w:sz="0" w:space="0" w:color="auto"/>
        <w:bottom w:val="none" w:sz="0" w:space="0" w:color="auto"/>
        <w:right w:val="none" w:sz="0" w:space="0" w:color="auto"/>
      </w:divBdr>
    </w:div>
    <w:div w:id="995454857">
      <w:bodyDiv w:val="1"/>
      <w:marLeft w:val="0"/>
      <w:marRight w:val="0"/>
      <w:marTop w:val="0"/>
      <w:marBottom w:val="0"/>
      <w:divBdr>
        <w:top w:val="none" w:sz="0" w:space="0" w:color="auto"/>
        <w:left w:val="none" w:sz="0" w:space="0" w:color="auto"/>
        <w:bottom w:val="none" w:sz="0" w:space="0" w:color="auto"/>
        <w:right w:val="none" w:sz="0" w:space="0" w:color="auto"/>
      </w:divBdr>
    </w:div>
    <w:div w:id="1030958353">
      <w:bodyDiv w:val="1"/>
      <w:marLeft w:val="0"/>
      <w:marRight w:val="0"/>
      <w:marTop w:val="0"/>
      <w:marBottom w:val="0"/>
      <w:divBdr>
        <w:top w:val="none" w:sz="0" w:space="0" w:color="auto"/>
        <w:left w:val="none" w:sz="0" w:space="0" w:color="auto"/>
        <w:bottom w:val="none" w:sz="0" w:space="0" w:color="auto"/>
        <w:right w:val="none" w:sz="0" w:space="0" w:color="auto"/>
      </w:divBdr>
    </w:div>
    <w:div w:id="1038816988">
      <w:bodyDiv w:val="1"/>
      <w:marLeft w:val="0"/>
      <w:marRight w:val="0"/>
      <w:marTop w:val="0"/>
      <w:marBottom w:val="0"/>
      <w:divBdr>
        <w:top w:val="none" w:sz="0" w:space="0" w:color="auto"/>
        <w:left w:val="none" w:sz="0" w:space="0" w:color="auto"/>
        <w:bottom w:val="none" w:sz="0" w:space="0" w:color="auto"/>
        <w:right w:val="none" w:sz="0" w:space="0" w:color="auto"/>
      </w:divBdr>
    </w:div>
    <w:div w:id="1066104554">
      <w:bodyDiv w:val="1"/>
      <w:marLeft w:val="0"/>
      <w:marRight w:val="0"/>
      <w:marTop w:val="0"/>
      <w:marBottom w:val="0"/>
      <w:divBdr>
        <w:top w:val="none" w:sz="0" w:space="0" w:color="auto"/>
        <w:left w:val="none" w:sz="0" w:space="0" w:color="auto"/>
        <w:bottom w:val="none" w:sz="0" w:space="0" w:color="auto"/>
        <w:right w:val="none" w:sz="0" w:space="0" w:color="auto"/>
      </w:divBdr>
    </w:div>
    <w:div w:id="1090614729">
      <w:bodyDiv w:val="1"/>
      <w:marLeft w:val="0"/>
      <w:marRight w:val="0"/>
      <w:marTop w:val="0"/>
      <w:marBottom w:val="0"/>
      <w:divBdr>
        <w:top w:val="none" w:sz="0" w:space="0" w:color="auto"/>
        <w:left w:val="none" w:sz="0" w:space="0" w:color="auto"/>
        <w:bottom w:val="none" w:sz="0" w:space="0" w:color="auto"/>
        <w:right w:val="none" w:sz="0" w:space="0" w:color="auto"/>
      </w:divBdr>
    </w:div>
    <w:div w:id="1131633943">
      <w:bodyDiv w:val="1"/>
      <w:marLeft w:val="0"/>
      <w:marRight w:val="0"/>
      <w:marTop w:val="0"/>
      <w:marBottom w:val="0"/>
      <w:divBdr>
        <w:top w:val="none" w:sz="0" w:space="0" w:color="auto"/>
        <w:left w:val="none" w:sz="0" w:space="0" w:color="auto"/>
        <w:bottom w:val="none" w:sz="0" w:space="0" w:color="auto"/>
        <w:right w:val="none" w:sz="0" w:space="0" w:color="auto"/>
      </w:divBdr>
    </w:div>
    <w:div w:id="1160847919">
      <w:bodyDiv w:val="1"/>
      <w:marLeft w:val="0"/>
      <w:marRight w:val="0"/>
      <w:marTop w:val="0"/>
      <w:marBottom w:val="0"/>
      <w:divBdr>
        <w:top w:val="none" w:sz="0" w:space="0" w:color="auto"/>
        <w:left w:val="none" w:sz="0" w:space="0" w:color="auto"/>
        <w:bottom w:val="none" w:sz="0" w:space="0" w:color="auto"/>
        <w:right w:val="none" w:sz="0" w:space="0" w:color="auto"/>
      </w:divBdr>
    </w:div>
    <w:div w:id="1172991877">
      <w:bodyDiv w:val="1"/>
      <w:marLeft w:val="0"/>
      <w:marRight w:val="0"/>
      <w:marTop w:val="0"/>
      <w:marBottom w:val="0"/>
      <w:divBdr>
        <w:top w:val="none" w:sz="0" w:space="0" w:color="auto"/>
        <w:left w:val="none" w:sz="0" w:space="0" w:color="auto"/>
        <w:bottom w:val="none" w:sz="0" w:space="0" w:color="auto"/>
        <w:right w:val="none" w:sz="0" w:space="0" w:color="auto"/>
      </w:divBdr>
    </w:div>
    <w:div w:id="1248032883">
      <w:bodyDiv w:val="1"/>
      <w:marLeft w:val="0"/>
      <w:marRight w:val="0"/>
      <w:marTop w:val="0"/>
      <w:marBottom w:val="0"/>
      <w:divBdr>
        <w:top w:val="none" w:sz="0" w:space="0" w:color="auto"/>
        <w:left w:val="none" w:sz="0" w:space="0" w:color="auto"/>
        <w:bottom w:val="none" w:sz="0" w:space="0" w:color="auto"/>
        <w:right w:val="none" w:sz="0" w:space="0" w:color="auto"/>
      </w:divBdr>
    </w:div>
    <w:div w:id="1349985146">
      <w:bodyDiv w:val="1"/>
      <w:marLeft w:val="0"/>
      <w:marRight w:val="0"/>
      <w:marTop w:val="0"/>
      <w:marBottom w:val="0"/>
      <w:divBdr>
        <w:top w:val="none" w:sz="0" w:space="0" w:color="auto"/>
        <w:left w:val="none" w:sz="0" w:space="0" w:color="auto"/>
        <w:bottom w:val="none" w:sz="0" w:space="0" w:color="auto"/>
        <w:right w:val="none" w:sz="0" w:space="0" w:color="auto"/>
      </w:divBdr>
    </w:div>
    <w:div w:id="1442148871">
      <w:bodyDiv w:val="1"/>
      <w:marLeft w:val="0"/>
      <w:marRight w:val="0"/>
      <w:marTop w:val="0"/>
      <w:marBottom w:val="0"/>
      <w:divBdr>
        <w:top w:val="none" w:sz="0" w:space="0" w:color="auto"/>
        <w:left w:val="none" w:sz="0" w:space="0" w:color="auto"/>
        <w:bottom w:val="none" w:sz="0" w:space="0" w:color="auto"/>
        <w:right w:val="none" w:sz="0" w:space="0" w:color="auto"/>
      </w:divBdr>
    </w:div>
    <w:div w:id="1446652824">
      <w:bodyDiv w:val="1"/>
      <w:marLeft w:val="0"/>
      <w:marRight w:val="0"/>
      <w:marTop w:val="0"/>
      <w:marBottom w:val="0"/>
      <w:divBdr>
        <w:top w:val="none" w:sz="0" w:space="0" w:color="auto"/>
        <w:left w:val="none" w:sz="0" w:space="0" w:color="auto"/>
        <w:bottom w:val="none" w:sz="0" w:space="0" w:color="auto"/>
        <w:right w:val="none" w:sz="0" w:space="0" w:color="auto"/>
      </w:divBdr>
    </w:div>
    <w:div w:id="1473475412">
      <w:bodyDiv w:val="1"/>
      <w:marLeft w:val="0"/>
      <w:marRight w:val="0"/>
      <w:marTop w:val="0"/>
      <w:marBottom w:val="0"/>
      <w:divBdr>
        <w:top w:val="none" w:sz="0" w:space="0" w:color="auto"/>
        <w:left w:val="none" w:sz="0" w:space="0" w:color="auto"/>
        <w:bottom w:val="none" w:sz="0" w:space="0" w:color="auto"/>
        <w:right w:val="none" w:sz="0" w:space="0" w:color="auto"/>
      </w:divBdr>
    </w:div>
    <w:div w:id="1490630257">
      <w:bodyDiv w:val="1"/>
      <w:marLeft w:val="0"/>
      <w:marRight w:val="0"/>
      <w:marTop w:val="0"/>
      <w:marBottom w:val="0"/>
      <w:divBdr>
        <w:top w:val="none" w:sz="0" w:space="0" w:color="auto"/>
        <w:left w:val="none" w:sz="0" w:space="0" w:color="auto"/>
        <w:bottom w:val="none" w:sz="0" w:space="0" w:color="auto"/>
        <w:right w:val="none" w:sz="0" w:space="0" w:color="auto"/>
      </w:divBdr>
    </w:div>
    <w:div w:id="1520394333">
      <w:bodyDiv w:val="1"/>
      <w:marLeft w:val="0"/>
      <w:marRight w:val="0"/>
      <w:marTop w:val="0"/>
      <w:marBottom w:val="0"/>
      <w:divBdr>
        <w:top w:val="none" w:sz="0" w:space="0" w:color="auto"/>
        <w:left w:val="none" w:sz="0" w:space="0" w:color="auto"/>
        <w:bottom w:val="none" w:sz="0" w:space="0" w:color="auto"/>
        <w:right w:val="none" w:sz="0" w:space="0" w:color="auto"/>
      </w:divBdr>
    </w:div>
    <w:div w:id="1521165048">
      <w:bodyDiv w:val="1"/>
      <w:marLeft w:val="0"/>
      <w:marRight w:val="0"/>
      <w:marTop w:val="0"/>
      <w:marBottom w:val="0"/>
      <w:divBdr>
        <w:top w:val="none" w:sz="0" w:space="0" w:color="auto"/>
        <w:left w:val="none" w:sz="0" w:space="0" w:color="auto"/>
        <w:bottom w:val="none" w:sz="0" w:space="0" w:color="auto"/>
        <w:right w:val="none" w:sz="0" w:space="0" w:color="auto"/>
      </w:divBdr>
    </w:div>
    <w:div w:id="1525829738">
      <w:bodyDiv w:val="1"/>
      <w:marLeft w:val="0"/>
      <w:marRight w:val="0"/>
      <w:marTop w:val="0"/>
      <w:marBottom w:val="0"/>
      <w:divBdr>
        <w:top w:val="none" w:sz="0" w:space="0" w:color="auto"/>
        <w:left w:val="none" w:sz="0" w:space="0" w:color="auto"/>
        <w:bottom w:val="none" w:sz="0" w:space="0" w:color="auto"/>
        <w:right w:val="none" w:sz="0" w:space="0" w:color="auto"/>
      </w:divBdr>
    </w:div>
    <w:div w:id="1635326601">
      <w:bodyDiv w:val="1"/>
      <w:marLeft w:val="0"/>
      <w:marRight w:val="0"/>
      <w:marTop w:val="0"/>
      <w:marBottom w:val="0"/>
      <w:divBdr>
        <w:top w:val="none" w:sz="0" w:space="0" w:color="auto"/>
        <w:left w:val="none" w:sz="0" w:space="0" w:color="auto"/>
        <w:bottom w:val="none" w:sz="0" w:space="0" w:color="auto"/>
        <w:right w:val="none" w:sz="0" w:space="0" w:color="auto"/>
      </w:divBdr>
    </w:div>
    <w:div w:id="1739739821">
      <w:bodyDiv w:val="1"/>
      <w:marLeft w:val="0"/>
      <w:marRight w:val="0"/>
      <w:marTop w:val="0"/>
      <w:marBottom w:val="0"/>
      <w:divBdr>
        <w:top w:val="none" w:sz="0" w:space="0" w:color="auto"/>
        <w:left w:val="none" w:sz="0" w:space="0" w:color="auto"/>
        <w:bottom w:val="none" w:sz="0" w:space="0" w:color="auto"/>
        <w:right w:val="none" w:sz="0" w:space="0" w:color="auto"/>
      </w:divBdr>
    </w:div>
    <w:div w:id="1878811465">
      <w:bodyDiv w:val="1"/>
      <w:marLeft w:val="0"/>
      <w:marRight w:val="0"/>
      <w:marTop w:val="0"/>
      <w:marBottom w:val="0"/>
      <w:divBdr>
        <w:top w:val="none" w:sz="0" w:space="0" w:color="auto"/>
        <w:left w:val="none" w:sz="0" w:space="0" w:color="auto"/>
        <w:bottom w:val="none" w:sz="0" w:space="0" w:color="auto"/>
        <w:right w:val="none" w:sz="0" w:space="0" w:color="auto"/>
      </w:divBdr>
    </w:div>
    <w:div w:id="1915048885">
      <w:bodyDiv w:val="1"/>
      <w:marLeft w:val="0"/>
      <w:marRight w:val="0"/>
      <w:marTop w:val="0"/>
      <w:marBottom w:val="0"/>
      <w:divBdr>
        <w:top w:val="none" w:sz="0" w:space="0" w:color="auto"/>
        <w:left w:val="none" w:sz="0" w:space="0" w:color="auto"/>
        <w:bottom w:val="none" w:sz="0" w:space="0" w:color="auto"/>
        <w:right w:val="none" w:sz="0" w:space="0" w:color="auto"/>
      </w:divBdr>
    </w:div>
    <w:div w:id="1973974777">
      <w:bodyDiv w:val="1"/>
      <w:marLeft w:val="0"/>
      <w:marRight w:val="0"/>
      <w:marTop w:val="0"/>
      <w:marBottom w:val="0"/>
      <w:divBdr>
        <w:top w:val="none" w:sz="0" w:space="0" w:color="auto"/>
        <w:left w:val="none" w:sz="0" w:space="0" w:color="auto"/>
        <w:bottom w:val="none" w:sz="0" w:space="0" w:color="auto"/>
        <w:right w:val="none" w:sz="0" w:space="0" w:color="auto"/>
      </w:divBdr>
    </w:div>
    <w:div w:id="2056273418">
      <w:bodyDiv w:val="1"/>
      <w:marLeft w:val="0"/>
      <w:marRight w:val="0"/>
      <w:marTop w:val="0"/>
      <w:marBottom w:val="0"/>
      <w:divBdr>
        <w:top w:val="none" w:sz="0" w:space="0" w:color="auto"/>
        <w:left w:val="none" w:sz="0" w:space="0" w:color="auto"/>
        <w:bottom w:val="none" w:sz="0" w:space="0" w:color="auto"/>
        <w:right w:val="none" w:sz="0" w:space="0" w:color="auto"/>
      </w:divBdr>
    </w:div>
    <w:div w:id="2088257562">
      <w:bodyDiv w:val="1"/>
      <w:marLeft w:val="0"/>
      <w:marRight w:val="0"/>
      <w:marTop w:val="0"/>
      <w:marBottom w:val="0"/>
      <w:divBdr>
        <w:top w:val="none" w:sz="0" w:space="0" w:color="auto"/>
        <w:left w:val="none" w:sz="0" w:space="0" w:color="auto"/>
        <w:bottom w:val="none" w:sz="0" w:space="0" w:color="auto"/>
        <w:right w:val="none" w:sz="0" w:space="0" w:color="auto"/>
      </w:divBdr>
    </w:div>
    <w:div w:id="21057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https://tradingeconomics.com/japan/forecas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bntan\Desktop\BC%20Q2-2023\bieu%20do%20q2-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ntan\Desktop\BC%20Q2-2023\bieu%20do%20q2-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ntan\Desktop\BC%20Q2-2023\bieu%20do%20q2-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ntan\Desktop\BC%20Q2-2023\bieu%20do%20q2-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ntan\Desktop\BC%20Q2-2023\bieu%20do%20q2-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ntan\Desktop\BC%20Q2-2023\bieu%20do%20q2-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IMF</c:v>
                </c:pt>
                <c:pt idx="1">
                  <c:v>OCED</c:v>
                </c:pt>
                <c:pt idx="2">
                  <c:v>UNDESA</c:v>
                </c:pt>
                <c:pt idx="3">
                  <c:v>FR</c:v>
                </c:pt>
                <c:pt idx="4">
                  <c:v>WB</c:v>
                </c:pt>
              </c:strCache>
            </c:strRef>
          </c:cat>
          <c:val>
            <c:numRef>
              <c:f>Sheet1!$B$2:$B$6</c:f>
              <c:numCache>
                <c:formatCode>General</c:formatCode>
                <c:ptCount val="5"/>
                <c:pt idx="0">
                  <c:v>3.4</c:v>
                </c:pt>
                <c:pt idx="1">
                  <c:v>3.3</c:v>
                </c:pt>
                <c:pt idx="2">
                  <c:v>3.1</c:v>
                </c:pt>
                <c:pt idx="3">
                  <c:v>2.6</c:v>
                </c:pt>
                <c:pt idx="4">
                  <c:v>3.1</c:v>
                </c:pt>
              </c:numCache>
            </c:numRef>
          </c:val>
          <c:extLst>
            <c:ext xmlns:c16="http://schemas.microsoft.com/office/drawing/2014/chart" uri="{C3380CC4-5D6E-409C-BE32-E72D297353CC}">
              <c16:uniqueId val="{00000000-11C6-4F18-ACB5-94E8CF99929C}"/>
            </c:ext>
          </c:extLst>
        </c:ser>
        <c:ser>
          <c:idx val="1"/>
          <c:order val="1"/>
          <c:tx>
            <c:strRef>
              <c:f>Sheet1!$C$1</c:f>
              <c:strCache>
                <c:ptCount val="1"/>
                <c:pt idx="0">
                  <c:v>2023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IMF</c:v>
                </c:pt>
                <c:pt idx="1">
                  <c:v>OCED</c:v>
                </c:pt>
                <c:pt idx="2">
                  <c:v>UNDESA</c:v>
                </c:pt>
                <c:pt idx="3">
                  <c:v>FR</c:v>
                </c:pt>
                <c:pt idx="4">
                  <c:v>WB</c:v>
                </c:pt>
              </c:strCache>
            </c:strRef>
          </c:cat>
          <c:val>
            <c:numRef>
              <c:f>Sheet1!$C$2:$C$6</c:f>
              <c:numCache>
                <c:formatCode>General</c:formatCode>
                <c:ptCount val="5"/>
                <c:pt idx="0">
                  <c:v>2.8</c:v>
                </c:pt>
                <c:pt idx="1">
                  <c:v>2.7</c:v>
                </c:pt>
                <c:pt idx="2">
                  <c:v>2.2999999999999998</c:v>
                </c:pt>
                <c:pt idx="3">
                  <c:v>2.4</c:v>
                </c:pt>
                <c:pt idx="4">
                  <c:v>2.1</c:v>
                </c:pt>
              </c:numCache>
            </c:numRef>
          </c:val>
          <c:extLst>
            <c:ext xmlns:c16="http://schemas.microsoft.com/office/drawing/2014/chart" uri="{C3380CC4-5D6E-409C-BE32-E72D297353CC}">
              <c16:uniqueId val="{00000001-11C6-4F18-ACB5-94E8CF99929C}"/>
            </c:ext>
          </c:extLst>
        </c:ser>
        <c:dLbls>
          <c:showLegendKey val="0"/>
          <c:showVal val="0"/>
          <c:showCatName val="0"/>
          <c:showSerName val="0"/>
          <c:showPercent val="0"/>
          <c:showBubbleSize val="0"/>
        </c:dLbls>
        <c:gapWidth val="219"/>
        <c:overlap val="-27"/>
        <c:axId val="1493966592"/>
        <c:axId val="1493974496"/>
      </c:barChart>
      <c:catAx>
        <c:axId val="149396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974496"/>
        <c:crosses val="autoZero"/>
        <c:auto val="1"/>
        <c:lblAlgn val="ctr"/>
        <c:lblOffset val="100"/>
        <c:noMultiLvlLbl val="0"/>
      </c:catAx>
      <c:valAx>
        <c:axId val="1493974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96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'2us'!$C$3</c:f>
              <c:strCache>
                <c:ptCount val="1"/>
                <c:pt idx="0">
                  <c:v>2022</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'2us'!$B$4:$B$7</c:f>
              <c:strCache>
                <c:ptCount val="4"/>
                <c:pt idx="0">
                  <c:v>OECD</c:v>
                </c:pt>
                <c:pt idx="1">
                  <c:v>WB</c:v>
                </c:pt>
                <c:pt idx="2">
                  <c:v>IMF</c:v>
                </c:pt>
                <c:pt idx="3">
                  <c:v>UNDESA</c:v>
                </c:pt>
              </c:strCache>
            </c:strRef>
          </c:cat>
          <c:val>
            <c:numRef>
              <c:f>'2us'!$C$4:$C$7</c:f>
              <c:numCache>
                <c:formatCode>0.0</c:formatCode>
                <c:ptCount val="4"/>
                <c:pt idx="0">
                  <c:v>2.1</c:v>
                </c:pt>
                <c:pt idx="1">
                  <c:v>2.1</c:v>
                </c:pt>
                <c:pt idx="2">
                  <c:v>2.1</c:v>
                </c:pt>
                <c:pt idx="3">
                  <c:v>2.1</c:v>
                </c:pt>
              </c:numCache>
            </c:numRef>
          </c:val>
          <c:extLst>
            <c:ext xmlns:c16="http://schemas.microsoft.com/office/drawing/2014/chart" uri="{C3380CC4-5D6E-409C-BE32-E72D297353CC}">
              <c16:uniqueId val="{00000000-C201-4EFD-8278-612A7B30E30B}"/>
            </c:ext>
          </c:extLst>
        </c:ser>
        <c:ser>
          <c:idx val="1"/>
          <c:order val="1"/>
          <c:tx>
            <c:strRef>
              <c:f>'2us'!$D$3</c:f>
              <c:strCache>
                <c:ptCount val="1"/>
                <c:pt idx="0">
                  <c:v>2023</c:v>
                </c:pt>
              </c:strCache>
            </c:strRef>
          </c:tx>
          <c:spPr>
            <a:solidFill>
              <a:srgbClr val="FF7C8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'2us'!$B$4:$B$7</c:f>
              <c:strCache>
                <c:ptCount val="4"/>
                <c:pt idx="0">
                  <c:v>OECD</c:v>
                </c:pt>
                <c:pt idx="1">
                  <c:v>WB</c:v>
                </c:pt>
                <c:pt idx="2">
                  <c:v>IMF</c:v>
                </c:pt>
                <c:pt idx="3">
                  <c:v>UNDESA</c:v>
                </c:pt>
              </c:strCache>
            </c:strRef>
          </c:cat>
          <c:val>
            <c:numRef>
              <c:f>'2us'!$D$4:$D$7</c:f>
              <c:numCache>
                <c:formatCode>0.0</c:formatCode>
                <c:ptCount val="4"/>
                <c:pt idx="0">
                  <c:v>1.6</c:v>
                </c:pt>
                <c:pt idx="1">
                  <c:v>1.1000000000000001</c:v>
                </c:pt>
                <c:pt idx="2">
                  <c:v>1.6</c:v>
                </c:pt>
                <c:pt idx="3">
                  <c:v>1.1000000000000001</c:v>
                </c:pt>
              </c:numCache>
            </c:numRef>
          </c:val>
          <c:extLst>
            <c:ext xmlns:c16="http://schemas.microsoft.com/office/drawing/2014/chart" uri="{C3380CC4-5D6E-409C-BE32-E72D297353CC}">
              <c16:uniqueId val="{00000001-C201-4EFD-8278-612A7B30E30B}"/>
            </c:ext>
          </c:extLst>
        </c:ser>
        <c:dLbls>
          <c:showLegendKey val="0"/>
          <c:showVal val="0"/>
          <c:showCatName val="0"/>
          <c:showSerName val="0"/>
          <c:showPercent val="0"/>
          <c:showBubbleSize val="0"/>
        </c:dLbls>
        <c:gapWidth val="219"/>
        <c:overlap val="-27"/>
        <c:axId val="105517440"/>
        <c:axId val="105611264"/>
      </c:barChart>
      <c:catAx>
        <c:axId val="10551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611264"/>
        <c:crosses val="autoZero"/>
        <c:auto val="1"/>
        <c:lblAlgn val="ctr"/>
        <c:lblOffset val="100"/>
        <c:noMultiLvlLbl val="0"/>
      </c:catAx>
      <c:valAx>
        <c:axId val="105611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517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'3eu'!$C$3</c:f>
              <c:strCache>
                <c:ptCount val="1"/>
                <c:pt idx="0">
                  <c:v>2022</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'3eu'!$B$4:$B$7</c:f>
              <c:strCache>
                <c:ptCount val="4"/>
                <c:pt idx="0">
                  <c:v>OECD</c:v>
                </c:pt>
                <c:pt idx="1">
                  <c:v>WB</c:v>
                </c:pt>
                <c:pt idx="2">
                  <c:v>IMF</c:v>
                </c:pt>
                <c:pt idx="3">
                  <c:v>UNDESA</c:v>
                </c:pt>
              </c:strCache>
            </c:strRef>
          </c:cat>
          <c:val>
            <c:numRef>
              <c:f>'3eu'!$C$4:$C$7</c:f>
              <c:numCache>
                <c:formatCode>0.0</c:formatCode>
                <c:ptCount val="4"/>
                <c:pt idx="0">
                  <c:v>3.5</c:v>
                </c:pt>
                <c:pt idx="1">
                  <c:v>3.5</c:v>
                </c:pt>
                <c:pt idx="2">
                  <c:v>3.5</c:v>
                </c:pt>
                <c:pt idx="3">
                  <c:v>3.5</c:v>
                </c:pt>
              </c:numCache>
            </c:numRef>
          </c:val>
          <c:extLst>
            <c:ext xmlns:c16="http://schemas.microsoft.com/office/drawing/2014/chart" uri="{C3380CC4-5D6E-409C-BE32-E72D297353CC}">
              <c16:uniqueId val="{00000000-42B4-4B3F-B1E2-260BAAD4633B}"/>
            </c:ext>
          </c:extLst>
        </c:ser>
        <c:ser>
          <c:idx val="1"/>
          <c:order val="1"/>
          <c:tx>
            <c:strRef>
              <c:f>'3eu'!$D$3</c:f>
              <c:strCache>
                <c:ptCount val="1"/>
                <c:pt idx="0">
                  <c:v>2023</c:v>
                </c:pt>
              </c:strCache>
            </c:strRef>
          </c:tx>
          <c:spPr>
            <a:solidFill>
              <a:srgbClr val="6699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'3eu'!$B$4:$B$7</c:f>
              <c:strCache>
                <c:ptCount val="4"/>
                <c:pt idx="0">
                  <c:v>OECD</c:v>
                </c:pt>
                <c:pt idx="1">
                  <c:v>WB</c:v>
                </c:pt>
                <c:pt idx="2">
                  <c:v>IMF</c:v>
                </c:pt>
                <c:pt idx="3">
                  <c:v>UNDESA</c:v>
                </c:pt>
              </c:strCache>
            </c:strRef>
          </c:cat>
          <c:val>
            <c:numRef>
              <c:f>'3eu'!$D$4:$D$7</c:f>
              <c:numCache>
                <c:formatCode>0.0</c:formatCode>
                <c:ptCount val="4"/>
                <c:pt idx="0">
                  <c:v>0.9</c:v>
                </c:pt>
                <c:pt idx="1">
                  <c:v>0.4</c:v>
                </c:pt>
                <c:pt idx="2">
                  <c:v>0.8</c:v>
                </c:pt>
                <c:pt idx="3">
                  <c:v>0.9</c:v>
                </c:pt>
              </c:numCache>
            </c:numRef>
          </c:val>
          <c:extLst>
            <c:ext xmlns:c16="http://schemas.microsoft.com/office/drawing/2014/chart" uri="{C3380CC4-5D6E-409C-BE32-E72D297353CC}">
              <c16:uniqueId val="{00000001-42B4-4B3F-B1E2-260BAAD4633B}"/>
            </c:ext>
          </c:extLst>
        </c:ser>
        <c:dLbls>
          <c:showLegendKey val="0"/>
          <c:showVal val="0"/>
          <c:showCatName val="0"/>
          <c:showSerName val="0"/>
          <c:showPercent val="0"/>
          <c:showBubbleSize val="0"/>
        </c:dLbls>
        <c:gapWidth val="219"/>
        <c:overlap val="-27"/>
        <c:axId val="105847424"/>
        <c:axId val="105857792"/>
      </c:barChart>
      <c:catAx>
        <c:axId val="10584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857792"/>
        <c:crosses val="autoZero"/>
        <c:auto val="1"/>
        <c:lblAlgn val="ctr"/>
        <c:lblOffset val="100"/>
        <c:noMultiLvlLbl val="0"/>
      </c:catAx>
      <c:valAx>
        <c:axId val="105857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847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'4jp'!$C$4</c:f>
              <c:strCache>
                <c:ptCount val="1"/>
                <c:pt idx="0">
                  <c:v>2022</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'4jp'!$B$5:$B$8</c:f>
              <c:strCache>
                <c:ptCount val="4"/>
                <c:pt idx="0">
                  <c:v>OECD</c:v>
                </c:pt>
                <c:pt idx="1">
                  <c:v>WB</c:v>
                </c:pt>
                <c:pt idx="2">
                  <c:v>IMF</c:v>
                </c:pt>
                <c:pt idx="3">
                  <c:v>UNDESA</c:v>
                </c:pt>
              </c:strCache>
            </c:strRef>
          </c:cat>
          <c:val>
            <c:numRef>
              <c:f>'4jp'!$C$5:$C$8</c:f>
              <c:numCache>
                <c:formatCode>0.0</c:formatCode>
                <c:ptCount val="4"/>
                <c:pt idx="0">
                  <c:v>1</c:v>
                </c:pt>
                <c:pt idx="1">
                  <c:v>1</c:v>
                </c:pt>
                <c:pt idx="2">
                  <c:v>1.1000000000000001</c:v>
                </c:pt>
                <c:pt idx="3">
                  <c:v>1.1000000000000001</c:v>
                </c:pt>
              </c:numCache>
            </c:numRef>
          </c:val>
          <c:extLst>
            <c:ext xmlns:c16="http://schemas.microsoft.com/office/drawing/2014/chart" uri="{C3380CC4-5D6E-409C-BE32-E72D297353CC}">
              <c16:uniqueId val="{00000000-54BD-4D37-8658-24535AC6899C}"/>
            </c:ext>
          </c:extLst>
        </c:ser>
        <c:ser>
          <c:idx val="1"/>
          <c:order val="1"/>
          <c:tx>
            <c:strRef>
              <c:f>'4jp'!$D$4</c:f>
              <c:strCache>
                <c:ptCount val="1"/>
                <c:pt idx="0">
                  <c:v>2023</c:v>
                </c:pt>
              </c:strCache>
            </c:strRef>
          </c:tx>
          <c:spPr>
            <a:solidFill>
              <a:srgbClr val="FF99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'4jp'!$B$5:$B$8</c:f>
              <c:strCache>
                <c:ptCount val="4"/>
                <c:pt idx="0">
                  <c:v>OECD</c:v>
                </c:pt>
                <c:pt idx="1">
                  <c:v>WB</c:v>
                </c:pt>
                <c:pt idx="2">
                  <c:v>IMF</c:v>
                </c:pt>
                <c:pt idx="3">
                  <c:v>UNDESA</c:v>
                </c:pt>
              </c:strCache>
            </c:strRef>
          </c:cat>
          <c:val>
            <c:numRef>
              <c:f>'4jp'!$D$5:$D$8</c:f>
              <c:numCache>
                <c:formatCode>0.0</c:formatCode>
                <c:ptCount val="4"/>
                <c:pt idx="0">
                  <c:v>1.3</c:v>
                </c:pt>
                <c:pt idx="1">
                  <c:v>0.8</c:v>
                </c:pt>
                <c:pt idx="2">
                  <c:v>1.3</c:v>
                </c:pt>
                <c:pt idx="3">
                  <c:v>1.2</c:v>
                </c:pt>
              </c:numCache>
            </c:numRef>
          </c:val>
          <c:extLst>
            <c:ext xmlns:c16="http://schemas.microsoft.com/office/drawing/2014/chart" uri="{C3380CC4-5D6E-409C-BE32-E72D297353CC}">
              <c16:uniqueId val="{00000001-54BD-4D37-8658-24535AC6899C}"/>
            </c:ext>
          </c:extLst>
        </c:ser>
        <c:dLbls>
          <c:showLegendKey val="0"/>
          <c:showVal val="0"/>
          <c:showCatName val="0"/>
          <c:showSerName val="0"/>
          <c:showPercent val="0"/>
          <c:showBubbleSize val="0"/>
        </c:dLbls>
        <c:gapWidth val="219"/>
        <c:overlap val="-27"/>
        <c:axId val="106005248"/>
        <c:axId val="106006784"/>
      </c:barChart>
      <c:catAx>
        <c:axId val="10600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06784"/>
        <c:crosses val="autoZero"/>
        <c:auto val="1"/>
        <c:lblAlgn val="ctr"/>
        <c:lblOffset val="100"/>
        <c:noMultiLvlLbl val="0"/>
      </c:catAx>
      <c:valAx>
        <c:axId val="106006784"/>
        <c:scaling>
          <c:orientation val="minMax"/>
          <c:max val="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05248"/>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'5cn'!$C$2</c:f>
              <c:strCache>
                <c:ptCount val="1"/>
                <c:pt idx="0">
                  <c:v>2022</c:v>
                </c:pt>
              </c:strCache>
            </c:strRef>
          </c:tx>
          <c:spPr>
            <a:solidFill>
              <a:srgbClr val="9966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'5cn'!$B$3:$B$6</c:f>
              <c:strCache>
                <c:ptCount val="4"/>
                <c:pt idx="0">
                  <c:v>OECD</c:v>
                </c:pt>
                <c:pt idx="1">
                  <c:v>WB</c:v>
                </c:pt>
                <c:pt idx="2">
                  <c:v>IMF</c:v>
                </c:pt>
                <c:pt idx="3">
                  <c:v>UNDESA</c:v>
                </c:pt>
              </c:strCache>
            </c:strRef>
          </c:cat>
          <c:val>
            <c:numRef>
              <c:f>'5cn'!$C$3:$C$6</c:f>
              <c:numCache>
                <c:formatCode>0.0</c:formatCode>
                <c:ptCount val="4"/>
                <c:pt idx="0">
                  <c:v>3</c:v>
                </c:pt>
                <c:pt idx="1">
                  <c:v>3</c:v>
                </c:pt>
                <c:pt idx="2">
                  <c:v>3</c:v>
                </c:pt>
                <c:pt idx="3">
                  <c:v>3</c:v>
                </c:pt>
              </c:numCache>
            </c:numRef>
          </c:val>
          <c:extLst>
            <c:ext xmlns:c16="http://schemas.microsoft.com/office/drawing/2014/chart" uri="{C3380CC4-5D6E-409C-BE32-E72D297353CC}">
              <c16:uniqueId val="{00000000-590D-4D58-B3F5-FBCFA2EA696D}"/>
            </c:ext>
          </c:extLst>
        </c:ser>
        <c:ser>
          <c:idx val="1"/>
          <c:order val="1"/>
          <c:tx>
            <c:strRef>
              <c:f>'5cn'!$D$2</c:f>
              <c:strCache>
                <c:ptCount val="1"/>
                <c:pt idx="0">
                  <c:v>2023</c:v>
                </c:pt>
              </c:strCache>
            </c:strRef>
          </c:tx>
          <c:spPr>
            <a:solidFill>
              <a:srgbClr val="00CCFF"/>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'5cn'!$B$3:$B$6</c:f>
              <c:strCache>
                <c:ptCount val="4"/>
                <c:pt idx="0">
                  <c:v>OECD</c:v>
                </c:pt>
                <c:pt idx="1">
                  <c:v>WB</c:v>
                </c:pt>
                <c:pt idx="2">
                  <c:v>IMF</c:v>
                </c:pt>
                <c:pt idx="3">
                  <c:v>UNDESA</c:v>
                </c:pt>
              </c:strCache>
            </c:strRef>
          </c:cat>
          <c:val>
            <c:numRef>
              <c:f>'5cn'!$D$3:$D$6</c:f>
              <c:numCache>
                <c:formatCode>0.0</c:formatCode>
                <c:ptCount val="4"/>
                <c:pt idx="0">
                  <c:v>5.4</c:v>
                </c:pt>
                <c:pt idx="1">
                  <c:v>5.6</c:v>
                </c:pt>
                <c:pt idx="2">
                  <c:v>5.2</c:v>
                </c:pt>
                <c:pt idx="3">
                  <c:v>5.3</c:v>
                </c:pt>
              </c:numCache>
            </c:numRef>
          </c:val>
          <c:extLst>
            <c:ext xmlns:c16="http://schemas.microsoft.com/office/drawing/2014/chart" uri="{C3380CC4-5D6E-409C-BE32-E72D297353CC}">
              <c16:uniqueId val="{00000001-590D-4D58-B3F5-FBCFA2EA696D}"/>
            </c:ext>
          </c:extLst>
        </c:ser>
        <c:dLbls>
          <c:showLegendKey val="0"/>
          <c:showVal val="0"/>
          <c:showCatName val="0"/>
          <c:showSerName val="0"/>
          <c:showPercent val="0"/>
          <c:showBubbleSize val="0"/>
        </c:dLbls>
        <c:gapWidth val="219"/>
        <c:overlap val="-27"/>
        <c:axId val="106512768"/>
        <c:axId val="106514304"/>
      </c:barChart>
      <c:catAx>
        <c:axId val="10651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14304"/>
        <c:crosses val="autoZero"/>
        <c:auto val="1"/>
        <c:lblAlgn val="ctr"/>
        <c:lblOffset val="100"/>
        <c:noMultiLvlLbl val="0"/>
      </c:catAx>
      <c:valAx>
        <c:axId val="106514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1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'6asean-vn'!$B$1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'6asean-vn'!$A$2:$A$11</c:f>
              <c:strCache>
                <c:ptCount val="10"/>
                <c:pt idx="0">
                  <c:v>Bru-nây</c:v>
                </c:pt>
                <c:pt idx="1">
                  <c:v>Cam-pu-chia</c:v>
                </c:pt>
                <c:pt idx="2">
                  <c:v>In-đô-nê-xi-a</c:v>
                </c:pt>
                <c:pt idx="3">
                  <c:v>Lào</c:v>
                </c:pt>
                <c:pt idx="4">
                  <c:v>Ma-lai-xi-a</c:v>
                </c:pt>
                <c:pt idx="5">
                  <c:v>Mi-an-ma</c:v>
                </c:pt>
                <c:pt idx="6">
                  <c:v>Phi-li-pin</c:v>
                </c:pt>
                <c:pt idx="7">
                  <c:v>Thái Lan</c:v>
                </c:pt>
                <c:pt idx="8">
                  <c:v>Xin-ga-po</c:v>
                </c:pt>
                <c:pt idx="9">
                  <c:v>Việt Nam</c:v>
                </c:pt>
              </c:strCache>
            </c:strRef>
          </c:cat>
          <c:val>
            <c:numRef>
              <c:f>'6asean-vn'!$B$2:$B$11</c:f>
              <c:numCache>
                <c:formatCode>0.0</c:formatCode>
                <c:ptCount val="10"/>
                <c:pt idx="0" formatCode="General">
                  <c:v>-0.5</c:v>
                </c:pt>
                <c:pt idx="1">
                  <c:v>5.2</c:v>
                </c:pt>
                <c:pt idx="2">
                  <c:v>5.3</c:v>
                </c:pt>
                <c:pt idx="3">
                  <c:v>2.5</c:v>
                </c:pt>
                <c:pt idx="4">
                  <c:v>8.7000000000000011</c:v>
                </c:pt>
                <c:pt idx="5">
                  <c:v>2</c:v>
                </c:pt>
                <c:pt idx="6">
                  <c:v>7.6</c:v>
                </c:pt>
                <c:pt idx="7">
                  <c:v>2.6</c:v>
                </c:pt>
                <c:pt idx="8">
                  <c:v>3.6</c:v>
                </c:pt>
                <c:pt idx="9">
                  <c:v>8</c:v>
                </c:pt>
              </c:numCache>
            </c:numRef>
          </c:val>
          <c:extLst>
            <c:ext xmlns:c16="http://schemas.microsoft.com/office/drawing/2014/chart" uri="{C3380CC4-5D6E-409C-BE32-E72D297353CC}">
              <c16:uniqueId val="{00000000-5881-4D59-B0ED-2CE6C8924071}"/>
            </c:ext>
          </c:extLst>
        </c:ser>
        <c:ser>
          <c:idx val="1"/>
          <c:order val="1"/>
          <c:tx>
            <c:strRef>
              <c:f>'6asean-vn'!$C$1</c:f>
              <c:strCache>
                <c:ptCount val="1"/>
                <c:pt idx="0">
                  <c:v>2023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'6asean-vn'!$A$2:$A$11</c:f>
              <c:strCache>
                <c:ptCount val="10"/>
                <c:pt idx="0">
                  <c:v>Bru-nây</c:v>
                </c:pt>
                <c:pt idx="1">
                  <c:v>Cam-pu-chia</c:v>
                </c:pt>
                <c:pt idx="2">
                  <c:v>In-đô-nê-xi-a</c:v>
                </c:pt>
                <c:pt idx="3">
                  <c:v>Lào</c:v>
                </c:pt>
                <c:pt idx="4">
                  <c:v>Ma-lai-xi-a</c:v>
                </c:pt>
                <c:pt idx="5">
                  <c:v>Mi-an-ma</c:v>
                </c:pt>
                <c:pt idx="6">
                  <c:v>Phi-li-pin</c:v>
                </c:pt>
                <c:pt idx="7">
                  <c:v>Thái Lan</c:v>
                </c:pt>
                <c:pt idx="8">
                  <c:v>Xin-ga-po</c:v>
                </c:pt>
                <c:pt idx="9">
                  <c:v>Việt Nam</c:v>
                </c:pt>
              </c:strCache>
            </c:strRef>
          </c:cat>
          <c:val>
            <c:numRef>
              <c:f>'6asean-vn'!$C$2:$C$11</c:f>
              <c:numCache>
                <c:formatCode>0.0</c:formatCode>
                <c:ptCount val="10"/>
                <c:pt idx="0" formatCode="General">
                  <c:v>2.5</c:v>
                </c:pt>
                <c:pt idx="1">
                  <c:v>5.5</c:v>
                </c:pt>
                <c:pt idx="2">
                  <c:v>4.8</c:v>
                </c:pt>
                <c:pt idx="3">
                  <c:v>4</c:v>
                </c:pt>
                <c:pt idx="4">
                  <c:v>4.7</c:v>
                </c:pt>
                <c:pt idx="5">
                  <c:v>2.8</c:v>
                </c:pt>
                <c:pt idx="6">
                  <c:v>6</c:v>
                </c:pt>
                <c:pt idx="7">
                  <c:v>3.3</c:v>
                </c:pt>
                <c:pt idx="8">
                  <c:v>2</c:v>
                </c:pt>
                <c:pt idx="9">
                  <c:v>6.5</c:v>
                </c:pt>
              </c:numCache>
            </c:numRef>
          </c:val>
          <c:extLst>
            <c:ext xmlns:c16="http://schemas.microsoft.com/office/drawing/2014/chart" uri="{C3380CC4-5D6E-409C-BE32-E72D297353CC}">
              <c16:uniqueId val="{00000001-5881-4D59-B0ED-2CE6C8924071}"/>
            </c:ext>
          </c:extLst>
        </c:ser>
        <c:dLbls>
          <c:showLegendKey val="0"/>
          <c:showVal val="1"/>
          <c:showCatName val="0"/>
          <c:showSerName val="0"/>
          <c:showPercent val="0"/>
          <c:showBubbleSize val="0"/>
        </c:dLbls>
        <c:gapWidth val="219"/>
        <c:overlap val="-27"/>
        <c:axId val="107759104"/>
        <c:axId val="107794432"/>
      </c:barChart>
      <c:catAx>
        <c:axId val="10775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94432"/>
        <c:crosses val="autoZero"/>
        <c:auto val="1"/>
        <c:lblAlgn val="ctr"/>
        <c:lblOffset val="100"/>
        <c:noMultiLvlLbl val="0"/>
      </c:catAx>
      <c:valAx>
        <c:axId val="107794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59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'7Vietnam'!$B$1</c:f>
              <c:strCache>
                <c:ptCount val="1"/>
                <c:pt idx="0">
                  <c:v>2022</c:v>
                </c:pt>
              </c:strCache>
            </c:strRef>
          </c:tx>
          <c:spPr>
            <a:solidFill>
              <a:srgbClr val="0099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'7Vietnam'!$A$2:$A$3</c:f>
              <c:strCache>
                <c:ptCount val="2"/>
                <c:pt idx="0">
                  <c:v>WB</c:v>
                </c:pt>
                <c:pt idx="1">
                  <c:v>ADB</c:v>
                </c:pt>
              </c:strCache>
            </c:strRef>
          </c:cat>
          <c:val>
            <c:numRef>
              <c:f>'7Vietnam'!$B$2:$B$3</c:f>
              <c:numCache>
                <c:formatCode>0.0</c:formatCode>
                <c:ptCount val="2"/>
                <c:pt idx="0">
                  <c:v>8</c:v>
                </c:pt>
                <c:pt idx="1">
                  <c:v>8</c:v>
                </c:pt>
              </c:numCache>
            </c:numRef>
          </c:val>
          <c:extLst>
            <c:ext xmlns:c16="http://schemas.microsoft.com/office/drawing/2014/chart" uri="{C3380CC4-5D6E-409C-BE32-E72D297353CC}">
              <c16:uniqueId val="{00000000-615A-4226-A3A0-15362D9F7ACB}"/>
            </c:ext>
          </c:extLst>
        </c:ser>
        <c:ser>
          <c:idx val="1"/>
          <c:order val="1"/>
          <c:tx>
            <c:strRef>
              <c:f>'7Vietnam'!$C$1</c:f>
              <c:strCache>
                <c:ptCount val="1"/>
                <c:pt idx="0">
                  <c:v>2023</c:v>
                </c:pt>
              </c:strCache>
            </c:strRef>
          </c:tx>
          <c:spPr>
            <a:solidFill>
              <a:srgbClr val="FF742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'7Vietnam'!$A$2:$A$3</c:f>
              <c:strCache>
                <c:ptCount val="2"/>
                <c:pt idx="0">
                  <c:v>WB</c:v>
                </c:pt>
                <c:pt idx="1">
                  <c:v>ADB</c:v>
                </c:pt>
              </c:strCache>
            </c:strRef>
          </c:cat>
          <c:val>
            <c:numRef>
              <c:f>'7Vietnam'!$C$2:$C$3</c:f>
              <c:numCache>
                <c:formatCode>0.0</c:formatCode>
                <c:ptCount val="2"/>
                <c:pt idx="0">
                  <c:v>6</c:v>
                </c:pt>
                <c:pt idx="1">
                  <c:v>6.5</c:v>
                </c:pt>
              </c:numCache>
            </c:numRef>
          </c:val>
          <c:extLst>
            <c:ext xmlns:c16="http://schemas.microsoft.com/office/drawing/2014/chart" uri="{C3380CC4-5D6E-409C-BE32-E72D297353CC}">
              <c16:uniqueId val="{00000001-615A-4226-A3A0-15362D9F7ACB}"/>
            </c:ext>
          </c:extLst>
        </c:ser>
        <c:dLbls>
          <c:showLegendKey val="0"/>
          <c:showVal val="1"/>
          <c:showCatName val="0"/>
          <c:showSerName val="0"/>
          <c:showPercent val="0"/>
          <c:showBubbleSize val="0"/>
        </c:dLbls>
        <c:gapWidth val="219"/>
        <c:overlap val="-27"/>
        <c:axId val="105753984"/>
        <c:axId val="106312832"/>
      </c:barChart>
      <c:catAx>
        <c:axId val="10575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312832"/>
        <c:crosses val="autoZero"/>
        <c:auto val="1"/>
        <c:lblAlgn val="ctr"/>
        <c:lblOffset val="100"/>
        <c:noMultiLvlLbl val="0"/>
      </c:catAx>
      <c:valAx>
        <c:axId val="106312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75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AD80-0FFA-425E-8437-DBFD62FB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6124</Words>
  <Characters>34908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ltthuyen</dc:creator>
  <cp:lastModifiedBy>Ha Hoang</cp:lastModifiedBy>
  <cp:revision>2</cp:revision>
  <cp:lastPrinted>2023-06-22T09:12:00Z</cp:lastPrinted>
  <dcterms:created xsi:type="dcterms:W3CDTF">2023-06-24T07:32:00Z</dcterms:created>
  <dcterms:modified xsi:type="dcterms:W3CDTF">2023-06-24T07:32:00Z</dcterms:modified>
</cp:coreProperties>
</file>