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78C" w:rsidRPr="00AE178C" w:rsidRDefault="00AE178C" w:rsidP="00AE178C">
      <w:pPr>
        <w:shd w:val="clear" w:color="auto" w:fill="FFFFFF"/>
        <w:spacing w:after="0" w:line="234" w:lineRule="atLeast"/>
        <w:jc w:val="center"/>
        <w:rPr>
          <w:rFonts w:ascii="Arial" w:eastAsia="Times New Roman" w:hAnsi="Arial" w:cs="Arial"/>
          <w:noProof w:val="0"/>
          <w:color w:val="000000"/>
          <w:sz w:val="18"/>
          <w:szCs w:val="18"/>
          <w:lang w:val="en-US"/>
        </w:rPr>
      </w:pPr>
      <w:bookmarkStart w:id="0" w:name="loai_4"/>
      <w:r w:rsidRPr="00AE178C">
        <w:rPr>
          <w:rFonts w:ascii="Arial" w:eastAsia="Times New Roman" w:hAnsi="Arial" w:cs="Arial"/>
          <w:b/>
          <w:bCs/>
          <w:noProof w:val="0"/>
          <w:color w:val="000000"/>
          <w:sz w:val="18"/>
          <w:szCs w:val="18"/>
          <w:lang w:val="en-US"/>
        </w:rPr>
        <w:t>BẢNG LƯƠNG CHUYÊN MÔN, NGHIỆP VỤ NGÀNH TOÀ ÁN, NGÀNH KIỂM SÁT</w:t>
      </w:r>
      <w:bookmarkEnd w:id="0"/>
    </w:p>
    <w:p w:rsidR="00AE178C" w:rsidRPr="00AE178C" w:rsidRDefault="00AE178C" w:rsidP="00AE178C">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i/>
          <w:iCs/>
          <w:noProof w:val="0"/>
          <w:color w:val="000000"/>
          <w:sz w:val="18"/>
          <w:szCs w:val="18"/>
          <w:lang w:val="en-US"/>
        </w:rPr>
        <w:t>(Ban hành kèm theo Nghị quyết số 730/2004/NQ-UBTVQH11 ngày 30/9/2004 của Uỷ ban thường vụ Quốc hội)</w:t>
      </w:r>
    </w:p>
    <w:p w:rsidR="00AE178C" w:rsidRPr="00AE178C" w:rsidRDefault="00AE178C" w:rsidP="00AE178C">
      <w:pPr>
        <w:shd w:val="clear" w:color="auto" w:fill="FFFFFF"/>
        <w:spacing w:before="120" w:after="120" w:line="234" w:lineRule="atLeast"/>
        <w:jc w:val="righ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Đơn vị tính: 1.000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3"/>
        <w:gridCol w:w="1391"/>
        <w:gridCol w:w="841"/>
        <w:gridCol w:w="831"/>
        <w:gridCol w:w="831"/>
        <w:gridCol w:w="831"/>
        <w:gridCol w:w="831"/>
        <w:gridCol w:w="817"/>
        <w:gridCol w:w="817"/>
        <w:gridCol w:w="817"/>
        <w:gridCol w:w="820"/>
      </w:tblGrid>
      <w:tr w:rsidR="00AE178C" w:rsidRPr="00AE178C" w:rsidTr="00AE178C">
        <w:trPr>
          <w:tblCellSpacing w:w="0" w:type="dxa"/>
        </w:trPr>
        <w:tc>
          <w:tcPr>
            <w:tcW w:w="505"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STT</w:t>
            </w:r>
          </w:p>
        </w:tc>
        <w:tc>
          <w:tcPr>
            <w:tcW w:w="1369"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Nhóm chức danh</w:t>
            </w:r>
          </w:p>
        </w:tc>
        <w:tc>
          <w:tcPr>
            <w:tcW w:w="828"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Bậc 1</w:t>
            </w:r>
          </w:p>
        </w:tc>
        <w:tc>
          <w:tcPr>
            <w:tcW w:w="817"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Bậc 2</w:t>
            </w:r>
          </w:p>
        </w:tc>
        <w:tc>
          <w:tcPr>
            <w:tcW w:w="817"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Bậc 3</w:t>
            </w:r>
          </w:p>
        </w:tc>
        <w:tc>
          <w:tcPr>
            <w:tcW w:w="817"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Bậc 4</w:t>
            </w:r>
          </w:p>
        </w:tc>
        <w:tc>
          <w:tcPr>
            <w:tcW w:w="817"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Bậc 5</w:t>
            </w:r>
          </w:p>
        </w:tc>
        <w:tc>
          <w:tcPr>
            <w:tcW w:w="803"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Bậc 6</w:t>
            </w:r>
          </w:p>
        </w:tc>
        <w:tc>
          <w:tcPr>
            <w:tcW w:w="803"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Bậc 7</w:t>
            </w:r>
          </w:p>
        </w:tc>
        <w:tc>
          <w:tcPr>
            <w:tcW w:w="803"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Bậc 8</w:t>
            </w:r>
          </w:p>
        </w:tc>
        <w:tc>
          <w:tcPr>
            <w:tcW w:w="806"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Bậc 9</w:t>
            </w:r>
          </w:p>
        </w:tc>
      </w:tr>
      <w:tr w:rsidR="00AE178C" w:rsidRPr="00AE178C" w:rsidTr="00AE178C">
        <w:trPr>
          <w:tblCellSpacing w:w="0" w:type="dxa"/>
        </w:trPr>
        <w:tc>
          <w:tcPr>
            <w:tcW w:w="505" w:type="dxa"/>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w:t>
            </w:r>
          </w:p>
        </w:tc>
        <w:tc>
          <w:tcPr>
            <w:tcW w:w="1369"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Loại A3</w:t>
            </w:r>
          </w:p>
        </w:tc>
        <w:tc>
          <w:tcPr>
            <w:tcW w:w="828"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6"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r>
      <w:tr w:rsidR="00AE178C" w:rsidRPr="00AE178C" w:rsidTr="00AE178C">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c>
          <w:tcPr>
            <w:tcW w:w="1369"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Hệ số lương</w:t>
            </w:r>
          </w:p>
        </w:tc>
        <w:tc>
          <w:tcPr>
            <w:tcW w:w="828"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6,20</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6,56</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6,92</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7,28</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7,64</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8,00</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6"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r>
      <w:tr w:rsidR="00AE178C" w:rsidRPr="00AE178C" w:rsidTr="00AE178C">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c>
          <w:tcPr>
            <w:tcW w:w="1369"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Mức lương thực hiện 01/10/2004</w:t>
            </w:r>
          </w:p>
        </w:tc>
        <w:tc>
          <w:tcPr>
            <w:tcW w:w="828"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1.798,0</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1.902,4</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2.006,8</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2.111,2</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2.215,6</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2.320,0</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6"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r>
      <w:tr w:rsidR="00AE178C" w:rsidRPr="00AE178C" w:rsidTr="00AE178C">
        <w:trPr>
          <w:tblCellSpacing w:w="0" w:type="dxa"/>
        </w:trPr>
        <w:tc>
          <w:tcPr>
            <w:tcW w:w="505" w:type="dxa"/>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2</w:t>
            </w:r>
          </w:p>
        </w:tc>
        <w:tc>
          <w:tcPr>
            <w:tcW w:w="1369"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Loại A2</w:t>
            </w:r>
          </w:p>
        </w:tc>
        <w:tc>
          <w:tcPr>
            <w:tcW w:w="828"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6"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r>
      <w:tr w:rsidR="00AE178C" w:rsidRPr="00AE178C" w:rsidTr="00AE178C">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c>
          <w:tcPr>
            <w:tcW w:w="1369"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Hệ số lương</w:t>
            </w:r>
          </w:p>
        </w:tc>
        <w:tc>
          <w:tcPr>
            <w:tcW w:w="828"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4,40</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4,74</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5,08</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5,42</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5,76</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6,10</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6,44</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6,78</w:t>
            </w:r>
          </w:p>
        </w:tc>
        <w:tc>
          <w:tcPr>
            <w:tcW w:w="806"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r>
      <w:tr w:rsidR="00AE178C" w:rsidRPr="00AE178C" w:rsidTr="00AE178C">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c>
          <w:tcPr>
            <w:tcW w:w="1369"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Mức lương thực hiện 01/10/2004</w:t>
            </w:r>
          </w:p>
        </w:tc>
        <w:tc>
          <w:tcPr>
            <w:tcW w:w="828"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1.276,0</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1.374,6</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1.473,2</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1.571,8</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1.670,4</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1.769,0</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1.867,6</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1.966,2</w:t>
            </w:r>
          </w:p>
        </w:tc>
        <w:tc>
          <w:tcPr>
            <w:tcW w:w="806"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r>
      <w:tr w:rsidR="00AE178C" w:rsidRPr="00AE178C" w:rsidTr="00AE178C">
        <w:trPr>
          <w:tblCellSpacing w:w="0" w:type="dxa"/>
        </w:trPr>
        <w:tc>
          <w:tcPr>
            <w:tcW w:w="505" w:type="dxa"/>
            <w:vMerge w:val="restar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3</w:t>
            </w:r>
          </w:p>
        </w:tc>
        <w:tc>
          <w:tcPr>
            <w:tcW w:w="1369"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Loại A1</w:t>
            </w:r>
          </w:p>
        </w:tc>
        <w:tc>
          <w:tcPr>
            <w:tcW w:w="828"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c>
          <w:tcPr>
            <w:tcW w:w="806"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after="0" w:line="240" w:lineRule="auto"/>
              <w:rPr>
                <w:rFonts w:ascii="Times New Roman" w:eastAsia="Times New Roman" w:hAnsi="Times New Roman" w:cs="Times New Roman"/>
                <w:noProof w:val="0"/>
                <w:sz w:val="20"/>
                <w:szCs w:val="20"/>
                <w:lang w:val="en-US"/>
              </w:rPr>
            </w:pPr>
          </w:p>
        </w:tc>
      </w:tr>
      <w:tr w:rsidR="00AE178C" w:rsidRPr="00AE178C" w:rsidTr="00AE178C">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c>
          <w:tcPr>
            <w:tcW w:w="1369"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Hệ số lương</w:t>
            </w:r>
          </w:p>
        </w:tc>
        <w:tc>
          <w:tcPr>
            <w:tcW w:w="828"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2,34</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2,67</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3,00</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3,33</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3,66</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3,99</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4,32</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4,65</w:t>
            </w:r>
          </w:p>
        </w:tc>
        <w:tc>
          <w:tcPr>
            <w:tcW w:w="806"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4,98</w:t>
            </w:r>
          </w:p>
        </w:tc>
      </w:tr>
      <w:tr w:rsidR="00AE178C" w:rsidRPr="00AE178C" w:rsidTr="00AE178C">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AE178C" w:rsidRPr="00AE178C" w:rsidRDefault="00AE178C" w:rsidP="00AE178C">
            <w:pPr>
              <w:spacing w:after="0" w:line="240" w:lineRule="auto"/>
              <w:rPr>
                <w:rFonts w:ascii="Arial" w:eastAsia="Times New Roman" w:hAnsi="Arial" w:cs="Arial"/>
                <w:noProof w:val="0"/>
                <w:color w:val="000000"/>
                <w:sz w:val="18"/>
                <w:szCs w:val="18"/>
                <w:lang w:val="en-US"/>
              </w:rPr>
            </w:pPr>
          </w:p>
        </w:tc>
        <w:tc>
          <w:tcPr>
            <w:tcW w:w="1369"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Mức lương thực hiện 01/10/2004</w:t>
            </w:r>
          </w:p>
        </w:tc>
        <w:tc>
          <w:tcPr>
            <w:tcW w:w="828"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678,6</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774,3</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870,0</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965,7</w:t>
            </w:r>
          </w:p>
        </w:tc>
        <w:tc>
          <w:tcPr>
            <w:tcW w:w="817"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1.061,4</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1.157,1</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1.252,8</w:t>
            </w:r>
          </w:p>
        </w:tc>
        <w:tc>
          <w:tcPr>
            <w:tcW w:w="803"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1.348,5</w:t>
            </w:r>
          </w:p>
        </w:tc>
        <w:tc>
          <w:tcPr>
            <w:tcW w:w="806"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AE178C" w:rsidRPr="00AE178C" w:rsidRDefault="00AE178C" w:rsidP="00AE178C">
            <w:pPr>
              <w:spacing w:before="120" w:after="120" w:line="234" w:lineRule="atLeast"/>
              <w:jc w:val="center"/>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1.444,2</w:t>
            </w:r>
          </w:p>
        </w:tc>
      </w:tr>
    </w:tbl>
    <w:p w:rsidR="00AE178C" w:rsidRPr="00AE178C" w:rsidRDefault="00AE178C" w:rsidP="00AE178C">
      <w:pPr>
        <w:shd w:val="clear" w:color="auto" w:fill="FFFFFF"/>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Ghi chú:</w:t>
      </w:r>
    </w:p>
    <w:p w:rsidR="00AE178C" w:rsidRPr="00AE178C" w:rsidRDefault="00AE178C" w:rsidP="00AE178C">
      <w:pPr>
        <w:shd w:val="clear" w:color="auto" w:fill="FFFFFF"/>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1. Đối tượng áp dụng bảng lương chuyên môn, nghiệp vụ ngành toà án, ngành kiểm sát như sau:</w:t>
      </w:r>
    </w:p>
    <w:p w:rsidR="00AE178C" w:rsidRPr="00AE178C" w:rsidRDefault="00AE178C" w:rsidP="00AE178C">
      <w:pPr>
        <w:rPr>
          <w:rFonts w:ascii="Arial" w:hAnsi="Arial" w:cs="Arial"/>
          <w:sz w:val="18"/>
          <w:szCs w:val="18"/>
        </w:rPr>
      </w:pPr>
      <w:bookmarkStart w:id="1" w:name="cumtu_7"/>
      <w:r w:rsidRPr="00AE178C">
        <w:rPr>
          <w:rFonts w:ascii="Arial" w:hAnsi="Arial" w:cs="Arial"/>
          <w:sz w:val="18"/>
          <w:szCs w:val="18"/>
        </w:rPr>
        <w:t>- Loại A3 gồm: Thẩm phán Toà án nhân dân tối cao, Thẩm tra viên cao cấp: Kiểm sát viên Viện KSNDTC, Kiếm tra viên cao cấp, điều tra viên cao cấp</w:t>
      </w:r>
      <w:bookmarkEnd w:id="1"/>
    </w:p>
    <w:p w:rsidR="00AE178C" w:rsidRPr="00AE178C" w:rsidRDefault="00AE178C" w:rsidP="00AE178C">
      <w:pPr>
        <w:rPr>
          <w:rFonts w:ascii="Arial" w:hAnsi="Arial" w:cs="Arial"/>
          <w:sz w:val="18"/>
          <w:szCs w:val="18"/>
        </w:rPr>
      </w:pPr>
      <w:bookmarkStart w:id="2" w:name="cumtu_8"/>
      <w:r w:rsidRPr="00AE178C">
        <w:rPr>
          <w:rFonts w:ascii="Arial" w:hAnsi="Arial" w:cs="Arial"/>
          <w:sz w:val="18"/>
          <w:szCs w:val="18"/>
        </w:rPr>
        <w:t>- Loại A2 gồm:</w:t>
      </w:r>
      <w:bookmarkEnd w:id="2"/>
      <w:r w:rsidRPr="00AE178C">
        <w:rPr>
          <w:rFonts w:ascii="Arial" w:hAnsi="Arial" w:cs="Arial"/>
          <w:sz w:val="18"/>
          <w:szCs w:val="18"/>
        </w:rPr>
        <w:t> </w:t>
      </w:r>
      <w:bookmarkStart w:id="3" w:name="cumtu_1"/>
      <w:r w:rsidRPr="00AE178C">
        <w:rPr>
          <w:rFonts w:ascii="Arial" w:hAnsi="Arial" w:cs="Arial"/>
          <w:sz w:val="18"/>
          <w:szCs w:val="18"/>
        </w:rPr>
        <w:t>Thầm phán Toà án nhân dân cấp tỉnh</w:t>
      </w:r>
      <w:bookmarkEnd w:id="3"/>
      <w:r w:rsidRPr="00AE178C">
        <w:rPr>
          <w:rFonts w:ascii="Arial" w:hAnsi="Arial" w:cs="Arial"/>
          <w:sz w:val="18"/>
          <w:szCs w:val="18"/>
        </w:rPr>
        <w:t>, </w:t>
      </w:r>
      <w:bookmarkStart w:id="4" w:name="cumtu_8_name"/>
      <w:r w:rsidRPr="00AE178C">
        <w:rPr>
          <w:rFonts w:ascii="Arial" w:hAnsi="Arial" w:cs="Arial"/>
          <w:sz w:val="18"/>
          <w:szCs w:val="18"/>
        </w:rPr>
        <w:t>Thẩm tra viên chính: Kiểm sát viên Viện KSND cấp tỉnh, kiểm tra viên chính, điều tra viên trung cấp.</w:t>
      </w:r>
      <w:bookmarkEnd w:id="4"/>
    </w:p>
    <w:p w:rsidR="00AE178C" w:rsidRPr="00AE178C" w:rsidRDefault="00AE178C" w:rsidP="00AE178C">
      <w:pPr>
        <w:rPr>
          <w:rFonts w:ascii="Arial" w:hAnsi="Arial" w:cs="Arial"/>
          <w:sz w:val="18"/>
          <w:szCs w:val="18"/>
        </w:rPr>
      </w:pPr>
      <w:r w:rsidRPr="00AE178C">
        <w:rPr>
          <w:rFonts w:ascii="Arial" w:hAnsi="Arial" w:cs="Arial"/>
          <w:sz w:val="18"/>
          <w:szCs w:val="18"/>
        </w:rPr>
        <w:t>- Loại A1 gồm: </w:t>
      </w:r>
      <w:bookmarkStart w:id="5" w:name="cumtu_2"/>
      <w:r w:rsidRPr="00AE178C">
        <w:rPr>
          <w:rFonts w:ascii="Arial" w:hAnsi="Arial" w:cs="Arial"/>
          <w:sz w:val="18"/>
          <w:szCs w:val="18"/>
        </w:rPr>
        <w:t>Thẩm phán Toà án nhân dân cấp huyện</w:t>
      </w:r>
      <w:bookmarkEnd w:id="5"/>
      <w:r w:rsidRPr="00AE178C">
        <w:rPr>
          <w:rFonts w:ascii="Arial" w:hAnsi="Arial" w:cs="Arial"/>
          <w:sz w:val="18"/>
          <w:szCs w:val="18"/>
        </w:rPr>
        <w:t>, Thẩm tra viên, </w:t>
      </w:r>
      <w:bookmarkStart w:id="6" w:name="cumtu_5"/>
      <w:r w:rsidRPr="00AE178C">
        <w:rPr>
          <w:rFonts w:ascii="Arial" w:hAnsi="Arial" w:cs="Arial"/>
          <w:sz w:val="18"/>
          <w:szCs w:val="18"/>
        </w:rPr>
        <w:t>Thư ký Toà án</w:t>
      </w:r>
      <w:bookmarkEnd w:id="6"/>
      <w:r w:rsidRPr="00AE178C">
        <w:rPr>
          <w:rFonts w:ascii="Arial" w:hAnsi="Arial" w:cs="Arial"/>
          <w:sz w:val="18"/>
          <w:szCs w:val="18"/>
        </w:rPr>
        <w:t>: Kiểm sát viên Viện KSND cấp huyện, kiểm tra viên, điều tra viên sơ cấp.</w:t>
      </w:r>
    </w:p>
    <w:p w:rsidR="00AE178C" w:rsidRPr="00AE178C" w:rsidRDefault="00AE178C" w:rsidP="00AE178C">
      <w:pPr>
        <w:rPr>
          <w:rFonts w:ascii="Arial" w:hAnsi="Arial" w:cs="Arial"/>
          <w:sz w:val="18"/>
          <w:szCs w:val="18"/>
        </w:rPr>
      </w:pPr>
      <w:r w:rsidRPr="00AE178C">
        <w:rPr>
          <w:rFonts w:ascii="Arial" w:hAnsi="Arial" w:cs="Arial"/>
          <w:sz w:val="18"/>
          <w:szCs w:val="18"/>
        </w:rPr>
        <w:t>2. Cấp tỉnh gồm: thành phố Hà Nội, thành phố Hồ Chí Minh, đô thị loại I và các tỉnh thành phố trực thuộc Trung ương còn lại.</w:t>
      </w:r>
    </w:p>
    <w:p w:rsidR="00AE178C" w:rsidRPr="00AE178C" w:rsidRDefault="00AE178C" w:rsidP="00AE178C">
      <w:pPr>
        <w:rPr>
          <w:rFonts w:ascii="Arial" w:hAnsi="Arial" w:cs="Arial"/>
          <w:sz w:val="18"/>
          <w:szCs w:val="18"/>
        </w:rPr>
      </w:pPr>
      <w:r w:rsidRPr="00AE178C">
        <w:rPr>
          <w:rFonts w:ascii="Arial" w:hAnsi="Arial" w:cs="Arial"/>
          <w:sz w:val="18"/>
          <w:szCs w:val="18"/>
        </w:rPr>
        <w:t>3. Cấp huyện gồm: thành phố thuộc tỉnh là đô thị loại II, loại III, quận thuộc thành phố Hà Nội, quận thuộc thành phố Hồ Chí Minh và các quận, huyện, thị xã còn lại.</w:t>
      </w:r>
    </w:p>
    <w:p w:rsidR="00AE178C" w:rsidRPr="00AE178C" w:rsidRDefault="00AE178C" w:rsidP="00AE178C">
      <w:pPr>
        <w:rPr>
          <w:rFonts w:ascii="Arial" w:hAnsi="Arial" w:cs="Arial"/>
          <w:sz w:val="18"/>
          <w:szCs w:val="18"/>
        </w:rPr>
      </w:pPr>
      <w:r w:rsidRPr="00AE178C">
        <w:rPr>
          <w:rFonts w:ascii="Arial" w:hAnsi="Arial" w:cs="Arial"/>
          <w:sz w:val="18"/>
          <w:szCs w:val="18"/>
        </w:rPr>
        <w:t>4. </w:t>
      </w:r>
      <w:bookmarkStart w:id="7" w:name="cumtu_3"/>
      <w:r w:rsidRPr="00AE178C">
        <w:rPr>
          <w:rFonts w:ascii="Arial" w:hAnsi="Arial" w:cs="Arial"/>
          <w:sz w:val="18"/>
          <w:szCs w:val="18"/>
        </w:rPr>
        <w:t>Thẩm phán Toà án nhân dân cấp huyện</w:t>
      </w:r>
      <w:bookmarkEnd w:id="7"/>
      <w:r w:rsidRPr="00AE178C">
        <w:rPr>
          <w:rFonts w:ascii="Arial" w:hAnsi="Arial" w:cs="Arial"/>
          <w:sz w:val="18"/>
          <w:szCs w:val="18"/>
        </w:rPr>
        <w:t>, Kiểm sát viên Viện KSND cấp huyện: Trước khi bổ nhiệm Thẩm phán TAND cấp huyện, Kiểm sát viên Viện KSND cấp huyện mà đã có thời gian làm việc ở các ngạch công chức, viên chức khác thì thời gian làm việc này (trừ thời gian tập sự hoặc thử việc theo quy định) được tính để chuyển xếp lương vào bậc tương ứng của chức danh </w:t>
      </w:r>
      <w:bookmarkStart w:id="8" w:name="cumtu_4"/>
      <w:r w:rsidRPr="00AE178C">
        <w:rPr>
          <w:rFonts w:ascii="Arial" w:hAnsi="Arial" w:cs="Arial"/>
          <w:sz w:val="18"/>
          <w:szCs w:val="18"/>
        </w:rPr>
        <w:t>Thẩm phán Toà án nhân dân cấp huyện</w:t>
      </w:r>
      <w:bookmarkEnd w:id="8"/>
      <w:r w:rsidRPr="00AE178C">
        <w:rPr>
          <w:rFonts w:ascii="Arial" w:hAnsi="Arial" w:cs="Arial"/>
          <w:sz w:val="18"/>
          <w:szCs w:val="18"/>
        </w:rPr>
        <w:t>, Kiểm sát viên Viện Kiểm sát nhân dân cấp huyện cho phù hợp.</w:t>
      </w:r>
    </w:p>
    <w:p w:rsidR="00AE178C" w:rsidRPr="00AE178C" w:rsidRDefault="00AE178C" w:rsidP="00AE178C">
      <w:pPr>
        <w:rPr>
          <w:rFonts w:ascii="Arial" w:hAnsi="Arial" w:cs="Arial"/>
          <w:sz w:val="18"/>
          <w:szCs w:val="18"/>
        </w:rPr>
      </w:pPr>
      <w:r w:rsidRPr="00AE178C">
        <w:rPr>
          <w:rFonts w:ascii="Arial" w:hAnsi="Arial" w:cs="Arial"/>
          <w:sz w:val="18"/>
          <w:szCs w:val="18"/>
        </w:rPr>
        <w:lastRenderedPageBreak/>
        <w:t>5. </w:t>
      </w:r>
      <w:bookmarkStart w:id="9" w:name="cumtu_6"/>
      <w:r w:rsidRPr="00AE178C">
        <w:rPr>
          <w:rFonts w:ascii="Arial" w:hAnsi="Arial" w:cs="Arial"/>
          <w:sz w:val="18"/>
          <w:szCs w:val="18"/>
        </w:rPr>
        <w:t>Thư ký Toà án</w:t>
      </w:r>
      <w:bookmarkEnd w:id="9"/>
      <w:r w:rsidRPr="00AE178C">
        <w:rPr>
          <w:rFonts w:ascii="Arial" w:hAnsi="Arial" w:cs="Arial"/>
          <w:sz w:val="18"/>
          <w:szCs w:val="18"/>
        </w:rPr>
        <w:t> chưa đạt trình độ chuẩn đại học thì tuỳ theo trình độ đào tạo là trung cấp hay cao đẳng để xếp lương cho phù hợp như các ngạch công chức có cùng yêu cầu trình độ đào tạo trong các cơ quan nhà nước.</w:t>
      </w:r>
    </w:p>
    <w:p w:rsidR="00AE178C" w:rsidRPr="00AE178C" w:rsidRDefault="00AE178C" w:rsidP="00AE178C">
      <w:pPr>
        <w:shd w:val="clear" w:color="auto" w:fill="FFFFFF"/>
        <w:spacing w:before="120" w:after="120" w:line="234" w:lineRule="atLeast"/>
        <w:rPr>
          <w:rFonts w:ascii="Arial" w:eastAsia="Times New Roman" w:hAnsi="Arial" w:cs="Arial"/>
          <w:noProof w:val="0"/>
          <w:color w:val="000000"/>
          <w:sz w:val="18"/>
          <w:szCs w:val="18"/>
          <w:lang w:val="en-US"/>
        </w:rPr>
      </w:pPr>
      <w:r w:rsidRPr="00AE178C">
        <w:rPr>
          <w:rFonts w:ascii="Arial" w:eastAsia="Times New Roman" w:hAnsi="Arial" w:cs="Arial"/>
          <w:noProof w:val="0"/>
          <w:color w:val="000000"/>
          <w:sz w:val="18"/>
          <w:szCs w:val="18"/>
          <w:lang w:val="en-US"/>
        </w:rPr>
        <w:t>6. Những người đã xếp bậc lương cuối cùng trong chức danh thì tuỳ theo kết quả thực hiện nhiệm vụ và số năm giữ bậc lương cuối cùng trong chức danh được xét hưởng lương phụ cấp thâm niên vượt khung theo hướng dẫn của Chính phủ.</w:t>
      </w:r>
    </w:p>
    <w:p w:rsidR="009471B5" w:rsidRPr="00AE178C" w:rsidRDefault="00AE178C">
      <w:pPr>
        <w:rPr>
          <w:rFonts w:ascii="Arial" w:hAnsi="Arial" w:cs="Arial"/>
          <w:sz w:val="18"/>
          <w:szCs w:val="18"/>
        </w:rPr>
      </w:pPr>
      <w:bookmarkStart w:id="10" w:name="cumtu_9"/>
      <w:r w:rsidRPr="00AE178C">
        <w:rPr>
          <w:rFonts w:ascii="Arial" w:hAnsi="Arial" w:cs="Arial"/>
          <w:sz w:val="18"/>
          <w:szCs w:val="18"/>
        </w:rPr>
        <w:t>7. Chuyển xếp lương cũ sang ngạch, bậc lương mới: Đối với những người đã xếp bậc lương cũ cao hơn bậc lương mới cuối cùng trong chức danh thì những bậc lương cũ cao hơn này được quy đổi thành % phụ cấp thâm niên vượt khung so với mức lương của bậc lương mới cuối cùng trong chức danh. Mức % phụ cấp thâm niên vượt khung quy đổi được tính theo chế độ phụ cấp thâm niên vượt</w:t>
      </w:r>
      <w:bookmarkStart w:id="11" w:name="_GoBack"/>
      <w:bookmarkEnd w:id="11"/>
      <w:r w:rsidRPr="00AE178C">
        <w:rPr>
          <w:rFonts w:ascii="Arial" w:hAnsi="Arial" w:cs="Arial"/>
          <w:sz w:val="18"/>
          <w:szCs w:val="18"/>
        </w:rPr>
        <w:t xml:space="preserve"> khung theo hướng dẫn của Chính phủ./.</w:t>
      </w:r>
      <w:bookmarkEnd w:id="10"/>
    </w:p>
    <w:sectPr w:rsidR="009471B5" w:rsidRPr="00AE17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78C"/>
    <w:rsid w:val="009471B5"/>
    <w:rsid w:val="00AE1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243FDB-427C-4B41-98C3-200FDBAD7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178C"/>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27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434</Words>
  <Characters>2480</Characters>
  <Application>Microsoft Office Word</Application>
  <DocSecurity>0</DocSecurity>
  <Lines>20</Lines>
  <Paragraphs>5</Paragraphs>
  <ScaleCrop>false</ScaleCrop>
  <Company/>
  <LinksUpToDate>false</LinksUpToDate>
  <CharactersWithSpaces>2909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2025-05-31T01:37:00Z</dcterms:created>
  <dcterms:modified xsi:type="dcterms:W3CDTF">2025-05-31T01:39:00Z</dcterms:modified>
</cp:coreProperties>
</file>