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64A53" w14:textId="77777777" w:rsidR="009E008B" w:rsidRPr="009E008B" w:rsidRDefault="009E008B" w:rsidP="009E008B">
      <w:pPr>
        <w:jc w:val="center"/>
      </w:pPr>
      <w:r w:rsidRPr="009E008B">
        <w:rPr>
          <w:b/>
          <w:bCs/>
        </w:rPr>
        <w:t>PHỤ LỤC II</w:t>
      </w:r>
    </w:p>
    <w:p w14:paraId="696E3B80" w14:textId="77777777" w:rsidR="009E008B" w:rsidRPr="009E008B" w:rsidRDefault="009E008B" w:rsidP="009E008B">
      <w:pPr>
        <w:jc w:val="center"/>
      </w:pPr>
      <w:r w:rsidRPr="009E008B">
        <w:t>XÁC ĐỊNH G</w:t>
      </w:r>
      <w:r w:rsidRPr="009E008B">
        <w:rPr>
          <w:vertAlign w:val="subscript"/>
        </w:rPr>
        <w:t>t2</w:t>
      </w:r>
      <w:r w:rsidRPr="009E008B">
        <w:br/>
        <w:t>(Ban hành kèm theo Quyết định số 80/2024/QĐ-UBND ngày 21 tháng 10 năm 2024 của Ủy ban nhân dân Thành phố)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
        <w:gridCol w:w="480"/>
        <w:gridCol w:w="1680"/>
        <w:gridCol w:w="1560"/>
      </w:tblGrid>
      <w:tr w:rsidR="009E008B" w:rsidRPr="009E008B" w14:paraId="4FFD50C9" w14:textId="77777777" w:rsidTr="009E008B">
        <w:trPr>
          <w:tblCellSpacing w:w="0" w:type="dxa"/>
        </w:trPr>
        <w:tc>
          <w:tcPr>
            <w:tcW w:w="480" w:type="dxa"/>
            <w:vMerge w:val="restart"/>
            <w:shd w:val="clear" w:color="auto" w:fill="FFFFFF"/>
            <w:tcMar>
              <w:top w:w="0" w:type="dxa"/>
              <w:left w:w="108" w:type="dxa"/>
              <w:bottom w:w="0" w:type="dxa"/>
              <w:right w:w="108" w:type="dxa"/>
            </w:tcMar>
            <w:vAlign w:val="center"/>
            <w:hideMark/>
          </w:tcPr>
          <w:p w14:paraId="44ED862D" w14:textId="77777777" w:rsidR="009E008B" w:rsidRPr="009E008B" w:rsidRDefault="009E008B" w:rsidP="009E008B">
            <w:r w:rsidRPr="009E008B">
              <w:t>G</w:t>
            </w:r>
            <w:r w:rsidRPr="009E008B">
              <w:rPr>
                <w:vertAlign w:val="subscript"/>
              </w:rPr>
              <w:t>t2</w:t>
            </w:r>
          </w:p>
        </w:tc>
        <w:tc>
          <w:tcPr>
            <w:tcW w:w="480" w:type="dxa"/>
            <w:vMerge w:val="restart"/>
            <w:shd w:val="clear" w:color="auto" w:fill="FFFFFF"/>
            <w:tcMar>
              <w:top w:w="0" w:type="dxa"/>
              <w:left w:w="108" w:type="dxa"/>
              <w:bottom w:w="0" w:type="dxa"/>
              <w:right w:w="108" w:type="dxa"/>
            </w:tcMar>
            <w:vAlign w:val="center"/>
            <w:hideMark/>
          </w:tcPr>
          <w:p w14:paraId="67413CAB" w14:textId="77777777" w:rsidR="009E008B" w:rsidRPr="009E008B" w:rsidRDefault="009E008B" w:rsidP="009E008B">
            <w:r w:rsidRPr="009E008B">
              <w:t>=</w:t>
            </w:r>
          </w:p>
        </w:tc>
        <w:tc>
          <w:tcPr>
            <w:tcW w:w="1680"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4CC16189" w14:textId="77777777" w:rsidR="009E008B" w:rsidRPr="009E008B" w:rsidRDefault="009E008B" w:rsidP="009E008B">
            <w:r w:rsidRPr="009E008B">
              <w:t>0,008 x T</w:t>
            </w:r>
            <w:r w:rsidRPr="009E008B">
              <w:rPr>
                <w:vertAlign w:val="subscript"/>
              </w:rPr>
              <w:t>đ2</w:t>
            </w:r>
          </w:p>
        </w:tc>
        <w:tc>
          <w:tcPr>
            <w:tcW w:w="1560" w:type="dxa"/>
            <w:vMerge w:val="restart"/>
            <w:shd w:val="clear" w:color="auto" w:fill="FFFFFF"/>
            <w:tcMar>
              <w:top w:w="0" w:type="dxa"/>
              <w:left w:w="108" w:type="dxa"/>
              <w:bottom w:w="0" w:type="dxa"/>
              <w:right w:w="108" w:type="dxa"/>
            </w:tcMar>
            <w:vAlign w:val="center"/>
            <w:hideMark/>
          </w:tcPr>
          <w:p w14:paraId="31C79073" w14:textId="77777777" w:rsidR="009E008B" w:rsidRPr="009E008B" w:rsidRDefault="009E008B" w:rsidP="009E008B">
            <w:r w:rsidRPr="009E008B">
              <w:t>x (1 + GTGT)</w:t>
            </w:r>
          </w:p>
        </w:tc>
      </w:tr>
      <w:tr w:rsidR="009E008B" w:rsidRPr="009E008B" w14:paraId="11EA685E" w14:textId="77777777" w:rsidTr="009E008B">
        <w:trPr>
          <w:tblCellSpacing w:w="0" w:type="dxa"/>
        </w:trPr>
        <w:tc>
          <w:tcPr>
            <w:tcW w:w="0" w:type="auto"/>
            <w:vMerge/>
            <w:shd w:val="clear" w:color="auto" w:fill="FFFFFF"/>
            <w:vAlign w:val="center"/>
            <w:hideMark/>
          </w:tcPr>
          <w:p w14:paraId="44111406" w14:textId="77777777" w:rsidR="009E008B" w:rsidRPr="009E008B" w:rsidRDefault="009E008B" w:rsidP="009E008B"/>
        </w:tc>
        <w:tc>
          <w:tcPr>
            <w:tcW w:w="0" w:type="auto"/>
            <w:vMerge/>
            <w:shd w:val="clear" w:color="auto" w:fill="FFFFFF"/>
            <w:vAlign w:val="center"/>
            <w:hideMark/>
          </w:tcPr>
          <w:p w14:paraId="5E39FE53" w14:textId="77777777" w:rsidR="009E008B" w:rsidRPr="009E008B" w:rsidRDefault="009E008B" w:rsidP="009E008B"/>
        </w:tc>
        <w:tc>
          <w:tcPr>
            <w:tcW w:w="1680" w:type="dxa"/>
            <w:shd w:val="clear" w:color="auto" w:fill="FFFFFF"/>
            <w:tcMar>
              <w:top w:w="0" w:type="dxa"/>
              <w:left w:w="108" w:type="dxa"/>
              <w:bottom w:w="0" w:type="dxa"/>
              <w:right w:w="108" w:type="dxa"/>
            </w:tcMar>
            <w:vAlign w:val="center"/>
            <w:hideMark/>
          </w:tcPr>
          <w:p w14:paraId="71DE8F50" w14:textId="77777777" w:rsidR="009E008B" w:rsidRPr="009E008B" w:rsidRDefault="009E008B" w:rsidP="009E008B">
            <w:r w:rsidRPr="009E008B">
              <w:t>S</w:t>
            </w:r>
            <w:r w:rsidRPr="009E008B">
              <w:rPr>
                <w:vertAlign w:val="subscript"/>
              </w:rPr>
              <w:t>t</w:t>
            </w:r>
          </w:p>
        </w:tc>
        <w:tc>
          <w:tcPr>
            <w:tcW w:w="0" w:type="auto"/>
            <w:vMerge/>
            <w:shd w:val="clear" w:color="auto" w:fill="FFFFFF"/>
            <w:vAlign w:val="center"/>
            <w:hideMark/>
          </w:tcPr>
          <w:p w14:paraId="022CF61D" w14:textId="77777777" w:rsidR="009E008B" w:rsidRPr="009E008B" w:rsidRDefault="009E008B" w:rsidP="009E008B"/>
        </w:tc>
      </w:tr>
    </w:tbl>
    <w:p w14:paraId="68B2899B" w14:textId="77777777" w:rsidR="009E008B" w:rsidRPr="009E008B" w:rsidRDefault="009E008B" w:rsidP="009E008B">
      <w:r w:rsidRPr="009E008B">
        <w:t>Trong đó:</w:t>
      </w:r>
    </w:p>
    <w:p w14:paraId="2455FDA4" w14:textId="77777777" w:rsidR="009E008B" w:rsidRPr="009E008B" w:rsidRDefault="009E008B" w:rsidP="009E008B">
      <w:r w:rsidRPr="009E008B">
        <w:t>- T</w:t>
      </w:r>
      <w:r w:rsidRPr="009E008B">
        <w:rPr>
          <w:vertAlign w:val="subscript"/>
        </w:rPr>
        <w:t>đ2</w:t>
      </w:r>
      <w:r w:rsidRPr="009E008B">
        <w:t> (đồng): Tổng chi phí bồi thường, hỗ trợ, tái định cư (nếu có) phân bổ cho phần diện tích nhà ở xã hội để cho thuê.</w:t>
      </w:r>
    </w:p>
    <w:p w14:paraId="11F0397F" w14:textId="77777777" w:rsidR="009E008B" w:rsidRPr="009E008B" w:rsidRDefault="009E008B" w:rsidP="009E008B">
      <w:r w:rsidRPr="009E008B">
        <w:t>* T</w:t>
      </w:r>
      <w:r w:rsidRPr="009E008B">
        <w:rPr>
          <w:vertAlign w:val="subscript"/>
        </w:rPr>
        <w:t>đ2</w:t>
      </w:r>
      <w:r w:rsidRPr="009E008B">
        <w:t> được xác định căn cứ theo đơn giá bồi thường, hỗ trợ, tái định cư do cơ quan có thẩm quyền phê duyệt. Các trường hợp còn lại áp dụng theo đơn giá đất cùng loại trong bảng giá đất trên địa bàn Thành phố Hồ Chí Minh do cơ quan có thẩm quyền ban hành tại thời điểm xác định giá thuê.</w:t>
      </w:r>
    </w:p>
    <w:p w14:paraId="47DA8A76" w14:textId="77777777" w:rsidR="009E008B" w:rsidRPr="009E008B" w:rsidRDefault="009E008B" w:rsidP="009E008B">
      <w:r w:rsidRPr="009E008B">
        <w:t>- S</w:t>
      </w:r>
      <w:r w:rsidRPr="009E008B">
        <w:rPr>
          <w:vertAlign w:val="subscript"/>
        </w:rPr>
        <w:t>t</w:t>
      </w:r>
      <w:r w:rsidRPr="009E008B">
        <w:t>: Diện tích sử dụng nhà ở cho thuê.</w:t>
      </w:r>
    </w:p>
    <w:p w14:paraId="25FEBC17" w14:textId="77777777" w:rsidR="009E008B" w:rsidRPr="009E008B" w:rsidRDefault="009E008B" w:rsidP="009E008B">
      <w:r w:rsidRPr="009E008B">
        <w:t>- GTGT: Thuế giá trị gia tăng xác định theo quy định của pháp luật về thuế.</w:t>
      </w:r>
    </w:p>
    <w:p w14:paraId="0D98C610" w14:textId="77777777" w:rsidR="005D4043" w:rsidRPr="00E52842" w:rsidRDefault="005D4043" w:rsidP="00E52842"/>
    <w:sectPr w:rsidR="005D4043" w:rsidRPr="00E5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3"/>
    <w:rsid w:val="005D4043"/>
    <w:rsid w:val="009B4FC7"/>
    <w:rsid w:val="009E008B"/>
    <w:rsid w:val="00E5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CC0A"/>
  <w15:chartTrackingRefBased/>
  <w15:docId w15:val="{1C14B8B3-017D-4E9E-9084-9781F3B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030189">
      <w:bodyDiv w:val="1"/>
      <w:marLeft w:val="0"/>
      <w:marRight w:val="0"/>
      <w:marTop w:val="0"/>
      <w:marBottom w:val="0"/>
      <w:divBdr>
        <w:top w:val="none" w:sz="0" w:space="0" w:color="auto"/>
        <w:left w:val="none" w:sz="0" w:space="0" w:color="auto"/>
        <w:bottom w:val="none" w:sz="0" w:space="0" w:color="auto"/>
        <w:right w:val="none" w:sz="0" w:space="0" w:color="auto"/>
      </w:divBdr>
    </w:div>
    <w:div w:id="1651246966">
      <w:bodyDiv w:val="1"/>
      <w:marLeft w:val="0"/>
      <w:marRight w:val="0"/>
      <w:marTop w:val="0"/>
      <w:marBottom w:val="0"/>
      <w:divBdr>
        <w:top w:val="none" w:sz="0" w:space="0" w:color="auto"/>
        <w:left w:val="none" w:sz="0" w:space="0" w:color="auto"/>
        <w:bottom w:val="none" w:sz="0" w:space="0" w:color="auto"/>
        <w:right w:val="none" w:sz="0" w:space="0" w:color="auto"/>
      </w:divBdr>
    </w:div>
    <w:div w:id="1782413580">
      <w:bodyDiv w:val="1"/>
      <w:marLeft w:val="0"/>
      <w:marRight w:val="0"/>
      <w:marTop w:val="0"/>
      <w:marBottom w:val="0"/>
      <w:divBdr>
        <w:top w:val="none" w:sz="0" w:space="0" w:color="auto"/>
        <w:left w:val="none" w:sz="0" w:space="0" w:color="auto"/>
        <w:bottom w:val="none" w:sz="0" w:space="0" w:color="auto"/>
        <w:right w:val="none" w:sz="0" w:space="0" w:color="auto"/>
      </w:divBdr>
    </w:div>
    <w:div w:id="20026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2024-10-23T02:15:00Z</dcterms:created>
  <dcterms:modified xsi:type="dcterms:W3CDTF">2024-10-23T02:15:00Z</dcterms:modified>
</cp:coreProperties>
</file>