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E3768">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right"/>
        <w:rPr>
          <w:rFonts w:ascii="Arial" w:hAnsi="Arial" w:cs="Arial"/>
          <w:i w:val="0"/>
          <w:iCs w:val="0"/>
          <w:caps w:val="0"/>
          <w:color w:val="000000"/>
          <w:spacing w:val="0"/>
          <w:sz w:val="18"/>
          <w:szCs w:val="18"/>
        </w:rPr>
      </w:pPr>
      <w:bookmarkStart w:id="0" w:name="chuong_pl_1"/>
      <w:r>
        <w:rPr>
          <w:rFonts w:hint="default" w:ascii="Arial" w:hAnsi="Arial" w:cs="Arial"/>
          <w:b/>
          <w:bCs/>
          <w:i w:val="0"/>
          <w:iCs w:val="0"/>
          <w:caps w:val="0"/>
          <w:color w:val="000000"/>
          <w:spacing w:val="0"/>
          <w:sz w:val="20"/>
          <w:szCs w:val="20"/>
          <w:u w:val="none"/>
          <w:bdr w:val="none" w:color="auto" w:sz="0" w:space="0"/>
          <w:shd w:val="clear" w:fill="FFFFFF"/>
          <w:lang w:val="en-US"/>
        </w:rPr>
        <w:br w:type="textWrapping"/>
      </w:r>
      <w:r>
        <w:rPr>
          <w:rFonts w:hint="default" w:ascii="Arial" w:hAnsi="Arial" w:cs="Arial"/>
          <w:b/>
          <w:bCs/>
          <w:i w:val="0"/>
          <w:iCs w:val="0"/>
          <w:caps w:val="0"/>
          <w:color w:val="000000"/>
          <w:spacing w:val="0"/>
          <w:sz w:val="20"/>
          <w:szCs w:val="20"/>
          <w:u w:val="none"/>
          <w:bdr w:val="none" w:color="auto" w:sz="0" w:space="0"/>
          <w:shd w:val="clear" w:fill="FFFFFF"/>
          <w:lang w:val="en-US"/>
        </w:rPr>
        <w:t>Mẫu số 01/TSC-XLTS</w:t>
      </w:r>
      <w:bookmarkEnd w:id="0"/>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188"/>
        <w:gridCol w:w="5118"/>
      </w:tblGrid>
      <w:tr w14:paraId="0D601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900" w:type="pct"/>
            <w:shd w:val="clear" w:color="auto" w:fill="FFFFFF"/>
            <w:vAlign w:val="top"/>
          </w:tcPr>
          <w:p w14:paraId="07652ED2">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CƠ QUAN CHỦ QUẢN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TÊN CƠ QUAN, TỔ CHỨC,</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ĐƠN VỊ</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w:t>
            </w:r>
          </w:p>
        </w:tc>
        <w:tc>
          <w:tcPr>
            <w:tcW w:w="3050" w:type="pct"/>
            <w:shd w:val="clear" w:color="auto" w:fill="FFFFFF"/>
            <w:vAlign w:val="top"/>
          </w:tcPr>
          <w:p w14:paraId="45104A3F">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CỘNG HÒA XÃ HỘI CHỦ NGHĨA VIỆT NAM</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Độc lập - Tự do - Hạnh phúc</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w:t>
            </w:r>
          </w:p>
        </w:tc>
      </w:tr>
      <w:tr w14:paraId="58481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900" w:type="pct"/>
            <w:shd w:val="clear" w:color="auto" w:fill="FFFFFF"/>
            <w:vAlign w:val="top"/>
          </w:tcPr>
          <w:p w14:paraId="7BA3D353">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Số: ……/…..-……..</w:t>
            </w:r>
            <w:r>
              <w:rPr>
                <w:rFonts w:hint="default" w:ascii="Arial" w:hAnsi="Arial" w:cs="Arial"/>
                <w:i w:val="0"/>
                <w:iCs w:val="0"/>
                <w:caps w:val="0"/>
                <w:color w:val="000000"/>
                <w:spacing w:val="0"/>
                <w:sz w:val="20"/>
                <w:szCs w:val="20"/>
                <w:bdr w:val="none" w:color="auto" w:sz="0" w:space="0"/>
                <w:lang w:val="en-US"/>
              </w:rPr>
              <w:br w:type="textWrapping"/>
            </w:r>
            <w:bookmarkStart w:id="1" w:name="chuong_pl_1_name"/>
            <w:r>
              <w:rPr>
                <w:rFonts w:hint="default" w:ascii="Arial" w:hAnsi="Arial" w:cs="Arial"/>
                <w:i w:val="0"/>
                <w:iCs w:val="0"/>
                <w:caps w:val="0"/>
                <w:color w:val="000000"/>
                <w:spacing w:val="0"/>
                <w:sz w:val="20"/>
                <w:szCs w:val="20"/>
                <w:u w:val="none"/>
                <w:bdr w:val="none" w:color="auto" w:sz="0" w:space="0"/>
                <w:lang w:val="en-US"/>
              </w:rPr>
              <w:t>V/v đề nghị xử lý tài sản.</w:t>
            </w:r>
            <w:bookmarkEnd w:id="1"/>
          </w:p>
        </w:tc>
        <w:tc>
          <w:tcPr>
            <w:tcW w:w="3050" w:type="pct"/>
            <w:shd w:val="clear" w:color="auto" w:fill="FFFFFF"/>
            <w:vAlign w:val="top"/>
          </w:tcPr>
          <w:p w14:paraId="1AE7AF1A">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iCs/>
                <w:caps w:val="0"/>
                <w:color w:val="000000"/>
                <w:spacing w:val="0"/>
                <w:sz w:val="20"/>
                <w:szCs w:val="20"/>
                <w:bdr w:val="none" w:color="auto" w:sz="0" w:space="0"/>
                <w:lang w:val="en-US"/>
              </w:rPr>
              <w:t>……., ngày……tháng……năm …</w:t>
            </w:r>
          </w:p>
        </w:tc>
      </w:tr>
    </w:tbl>
    <w:p w14:paraId="00C4DCB2">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p w14:paraId="4E2648DC">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Kính gửi:……………………..</w:t>
      </w:r>
      <w:r>
        <w:rPr>
          <w:rFonts w:hint="default" w:ascii="Arial" w:hAnsi="Arial" w:cs="Arial"/>
          <w:i w:val="0"/>
          <w:iCs w:val="0"/>
          <w:caps w:val="0"/>
          <w:color w:val="000000"/>
          <w:spacing w:val="0"/>
          <w:sz w:val="20"/>
          <w:szCs w:val="20"/>
          <w:bdr w:val="none" w:color="auto" w:sz="0" w:space="0"/>
          <w:shd w:val="clear" w:fill="FFFFFF"/>
          <w:vertAlign w:val="superscript"/>
          <w:lang w:val="en-US"/>
        </w:rPr>
        <w:t>(1)</w:t>
      </w:r>
    </w:p>
    <w:p w14:paraId="33BC8966">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Căn cứ Nghị định số 186/2025/NĐ-CP ngày 01 tháng 7 năm 2025 của Chính phủ quy định chi tiết một số điều của </w:t>
      </w:r>
      <w:bookmarkStart w:id="2" w:name="tvpllink_tmztcowzkm_7"/>
      <w:r>
        <w:rPr>
          <w:rFonts w:hint="default" w:ascii="Arial" w:hAnsi="Arial" w:cs="Arial"/>
          <w:i w:val="0"/>
          <w:iCs w:val="0"/>
          <w:caps w:val="0"/>
          <w:color w:val="0E70C3"/>
          <w:spacing w:val="0"/>
          <w:sz w:val="20"/>
          <w:szCs w:val="20"/>
          <w:u w:val="none"/>
          <w:bdr w:val="none" w:color="auto" w:sz="0" w:space="0"/>
          <w:shd w:val="clear" w:fill="FFFFFF"/>
          <w:lang w:val="en-US"/>
        </w:rPr>
        <w:fldChar w:fldCharType="begin"/>
      </w:r>
      <w:r>
        <w:rPr>
          <w:rFonts w:hint="default" w:ascii="Arial" w:hAnsi="Arial" w:cs="Arial"/>
          <w:i w:val="0"/>
          <w:iCs w:val="0"/>
          <w:caps w:val="0"/>
          <w:color w:val="0E70C3"/>
          <w:spacing w:val="0"/>
          <w:sz w:val="20"/>
          <w:szCs w:val="20"/>
          <w:u w:val="none"/>
          <w:bdr w:val="none" w:color="auto" w:sz="0" w:space="0"/>
          <w:shd w:val="clear" w:fill="FFFFFF"/>
          <w:lang w:val="en-US"/>
        </w:rPr>
        <w:instrText xml:space="preserve"> HYPERLINK "https://thuvienphapluat.vn/van-ban/Tai-chinh-nha-nuoc/Luat-Quan-ly-su-dung-tai-san-cong-2017-322220.aspx" \t "https://thuvienphapluat.vn/van-ban/Tai-chinh-nha-nuoc/_blank" </w:instrText>
      </w:r>
      <w:r>
        <w:rPr>
          <w:rFonts w:hint="default" w:ascii="Arial" w:hAnsi="Arial" w:cs="Arial"/>
          <w:i w:val="0"/>
          <w:iCs w:val="0"/>
          <w:caps w:val="0"/>
          <w:color w:val="0E70C3"/>
          <w:spacing w:val="0"/>
          <w:sz w:val="20"/>
          <w:szCs w:val="20"/>
          <w:u w:val="none"/>
          <w:bdr w:val="none" w:color="auto" w:sz="0" w:space="0"/>
          <w:shd w:val="clear" w:fill="FFFFFF"/>
          <w:lang w:val="en-US"/>
        </w:rPr>
        <w:fldChar w:fldCharType="separate"/>
      </w:r>
      <w:r>
        <w:rPr>
          <w:rStyle w:val="5"/>
          <w:rFonts w:hint="default" w:ascii="Arial" w:hAnsi="Arial" w:cs="Arial"/>
          <w:i w:val="0"/>
          <w:iCs w:val="0"/>
          <w:caps w:val="0"/>
          <w:color w:val="0E70C3"/>
          <w:spacing w:val="0"/>
          <w:sz w:val="20"/>
          <w:szCs w:val="20"/>
          <w:u w:val="none"/>
          <w:bdr w:val="none" w:color="auto" w:sz="0" w:space="0"/>
          <w:shd w:val="clear" w:fill="FFFFFF"/>
          <w:lang w:val="en-US"/>
        </w:rPr>
        <w:t>Luật Quản lý, sử dụng tài sản công</w:t>
      </w:r>
      <w:bookmarkEnd w:id="2"/>
      <w:r>
        <w:rPr>
          <w:rFonts w:hint="default" w:ascii="Arial" w:hAnsi="Arial" w:cs="Arial"/>
          <w:i w:val="0"/>
          <w:iCs w:val="0"/>
          <w:caps w:val="0"/>
          <w:color w:val="0E70C3"/>
          <w:spacing w:val="0"/>
          <w:sz w:val="20"/>
          <w:szCs w:val="20"/>
          <w:u w:val="none"/>
          <w:bdr w:val="none" w:color="auto" w:sz="0" w:space="0"/>
          <w:shd w:val="clear" w:fill="FFFFFF"/>
          <w:lang w:val="en-US"/>
        </w:rPr>
        <w:fldChar w:fldCharType="end"/>
      </w:r>
      <w:r>
        <w:rPr>
          <w:rFonts w:hint="default" w:ascii="Arial" w:hAnsi="Arial" w:cs="Arial"/>
          <w:i w:val="0"/>
          <w:iCs w:val="0"/>
          <w:caps w:val="0"/>
          <w:color w:val="000000"/>
          <w:spacing w:val="0"/>
          <w:sz w:val="20"/>
          <w:szCs w:val="20"/>
          <w:bdr w:val="none" w:color="auto" w:sz="0" w:space="0"/>
          <w:shd w:val="clear" w:fill="FFFFFF"/>
          <w:lang w:val="en-US"/>
        </w:rPr>
        <w:t>;</w:t>
      </w:r>
    </w:p>
    <w:p w14:paraId="45838EE1">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Căn cứ thực tế quản lý, sử dụng tài sản,……………………</w:t>
      </w:r>
      <w:r>
        <w:rPr>
          <w:rFonts w:hint="default" w:ascii="Arial" w:hAnsi="Arial" w:cs="Arial"/>
          <w:i w:val="0"/>
          <w:iCs w:val="0"/>
          <w:caps w:val="0"/>
          <w:color w:val="000000"/>
          <w:spacing w:val="0"/>
          <w:sz w:val="20"/>
          <w:szCs w:val="20"/>
          <w:bdr w:val="none" w:color="auto" w:sz="0" w:space="0"/>
          <w:shd w:val="clear" w:fill="FFFFFF"/>
          <w:vertAlign w:val="superscript"/>
          <w:lang w:val="en-US"/>
        </w:rPr>
        <w:t>(2) </w:t>
      </w:r>
      <w:r>
        <w:rPr>
          <w:rFonts w:hint="default" w:ascii="Arial" w:hAnsi="Arial" w:cs="Arial"/>
          <w:i w:val="0"/>
          <w:iCs w:val="0"/>
          <w:caps w:val="0"/>
          <w:color w:val="000000"/>
          <w:spacing w:val="0"/>
          <w:sz w:val="20"/>
          <w:szCs w:val="20"/>
          <w:bdr w:val="none" w:color="auto" w:sz="0" w:space="0"/>
          <w:shd w:val="clear" w:fill="FFFFFF"/>
          <w:lang w:val="en-US"/>
        </w:rPr>
        <w:t>lập đề nghị xử lý tài sản theo Danh mục (đính kèm).</w:t>
      </w:r>
    </w:p>
    <w:p w14:paraId="16F8D443">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Đề nghị………………….</w:t>
      </w:r>
      <w:r>
        <w:rPr>
          <w:rFonts w:hint="default" w:ascii="Arial" w:hAnsi="Arial" w:cs="Arial"/>
          <w:i w:val="0"/>
          <w:iCs w:val="0"/>
          <w:caps w:val="0"/>
          <w:color w:val="000000"/>
          <w:spacing w:val="0"/>
          <w:sz w:val="20"/>
          <w:szCs w:val="20"/>
          <w:bdr w:val="none" w:color="auto" w:sz="0" w:space="0"/>
          <w:shd w:val="clear" w:fill="FFFFFF"/>
          <w:vertAlign w:val="superscript"/>
          <w:lang w:val="en-US"/>
        </w:rPr>
        <w:t>(1)</w:t>
      </w:r>
      <w:r>
        <w:rPr>
          <w:rFonts w:hint="default" w:ascii="Arial" w:hAnsi="Arial" w:cs="Arial"/>
          <w:i w:val="0"/>
          <w:iCs w:val="0"/>
          <w:caps w:val="0"/>
          <w:color w:val="000000"/>
          <w:spacing w:val="0"/>
          <w:sz w:val="20"/>
          <w:szCs w:val="20"/>
          <w:bdr w:val="none" w:color="auto" w:sz="0" w:space="0"/>
          <w:shd w:val="clear" w:fill="FFFFFF"/>
          <w:lang w:val="en-US"/>
        </w:rPr>
        <w:t>xem xét, quyết định xử lý theo thẩm quyền (hoặc tổng hợp, báo cáo …………………… xem xét, quyết định xử lý).</w:t>
      </w:r>
    </w:p>
    <w:p w14:paraId="03C07BBD">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769"/>
        <w:gridCol w:w="5537"/>
      </w:tblGrid>
      <w:tr w14:paraId="5EBC9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1650" w:type="pct"/>
            <w:shd w:val="clear" w:color="auto" w:fill="FFFFFF"/>
            <w:vAlign w:val="top"/>
          </w:tcPr>
          <w:p w14:paraId="6ABB9978">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left"/>
            </w:pPr>
            <w:r>
              <w:rPr>
                <w:rFonts w:hint="default" w:ascii="Arial" w:hAnsi="Arial" w:cs="Arial"/>
                <w:b/>
                <w:bCs/>
                <w:i/>
                <w:iCs/>
                <w:caps w:val="0"/>
                <w:color w:val="000000"/>
                <w:spacing w:val="0"/>
                <w:sz w:val="20"/>
                <w:szCs w:val="20"/>
                <w:bdr w:val="none" w:color="auto" w:sz="0" w:space="0"/>
                <w:lang w:val="en-US"/>
              </w:rPr>
              <w:br w:type="textWrapping"/>
            </w:r>
            <w:r>
              <w:rPr>
                <w:rFonts w:hint="default" w:ascii="Arial" w:hAnsi="Arial" w:cs="Arial"/>
                <w:b/>
                <w:bCs/>
                <w:i/>
                <w:iCs/>
                <w:caps w:val="0"/>
                <w:color w:val="000000"/>
                <w:spacing w:val="0"/>
                <w:sz w:val="20"/>
                <w:szCs w:val="20"/>
                <w:bdr w:val="none" w:color="auto" w:sz="0" w:space="0"/>
                <w:lang w:val="en-US"/>
              </w:rPr>
              <w:t>Nơi nhận: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t>- Như trên;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t>- ……..;</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val="0"/>
                <w:iCs w:val="0"/>
                <w:caps w:val="0"/>
                <w:color w:val="000000"/>
                <w:spacing w:val="0"/>
                <w:sz w:val="20"/>
                <w:szCs w:val="20"/>
                <w:bdr w:val="none" w:color="auto" w:sz="0" w:space="0"/>
                <w:lang w:val="en-US"/>
              </w:rPr>
              <w:t>- Lưu: …..</w:t>
            </w:r>
          </w:p>
        </w:tc>
        <w:tc>
          <w:tcPr>
            <w:tcW w:w="3300" w:type="pct"/>
            <w:shd w:val="clear" w:color="auto" w:fill="FFFFFF"/>
            <w:vAlign w:val="top"/>
          </w:tcPr>
          <w:p w14:paraId="2A577C80">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THỦ TRƯỞNG CƠ QUAN, TỔ CHỨC, ĐƠN VỊ</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val="en-US"/>
              </w:rPr>
              <w:t>(Ký, ghi rõ họ tên, đóng dấu)</w:t>
            </w:r>
          </w:p>
        </w:tc>
      </w:tr>
    </w:tbl>
    <w:p w14:paraId="3612E820">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iCs/>
          <w:caps w:val="0"/>
          <w:color w:val="000000"/>
          <w:spacing w:val="0"/>
          <w:sz w:val="20"/>
          <w:szCs w:val="20"/>
          <w:bdr w:val="none" w:color="auto" w:sz="0" w:space="0"/>
          <w:shd w:val="clear" w:fill="FFFFFF"/>
          <w:lang w:val="en-US"/>
        </w:rPr>
        <w:t>Ghi chú:</w:t>
      </w:r>
    </w:p>
    <w:p w14:paraId="2DF2B14A">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(1) Tên cơ quan quản lý cấp trên (nếu có cơ quan quản lý cấp trên); trường hợp không có cơ quan quản lý cấp trên thì ghi tên cơ quan, người có thẩm quyền quyết định xử lý tài sản.</w:t>
      </w:r>
    </w:p>
    <w:p w14:paraId="28664D0D">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(2) Tên cơ quan, tổ chức, đơn vị có tài sản đề nghị xử lý.</w:t>
      </w:r>
    </w:p>
    <w:p w14:paraId="67FA0C44">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655"/>
        <w:gridCol w:w="4651"/>
      </w:tblGrid>
      <w:tr w14:paraId="5EC82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200" w:type="pct"/>
            <w:shd w:val="clear" w:color="auto" w:fill="FFFFFF"/>
            <w:vAlign w:val="top"/>
          </w:tcPr>
          <w:p w14:paraId="29CD86E8">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CƠ QUAN CHỦ QUẢN</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TÊN CƠ QUAN, TỔ CHỨC,</w:t>
            </w:r>
            <w:r>
              <w:rPr>
                <w:rFonts w:hint="default" w:ascii="Arial" w:hAnsi="Arial" w:cs="Arial"/>
                <w:b/>
                <w:bCs/>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ĐƠN VỊ</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b/>
                <w:bCs/>
                <w:i w:val="0"/>
                <w:iCs w:val="0"/>
                <w:caps w:val="0"/>
                <w:color w:val="000000"/>
                <w:spacing w:val="0"/>
                <w:sz w:val="20"/>
                <w:szCs w:val="20"/>
                <w:bdr w:val="none" w:color="auto" w:sz="0" w:space="0"/>
                <w:lang w:val="en-US"/>
              </w:rPr>
              <w:t>-------</w:t>
            </w:r>
          </w:p>
        </w:tc>
        <w:tc>
          <w:tcPr>
            <w:tcW w:w="2800" w:type="pct"/>
            <w:shd w:val="clear" w:color="auto" w:fill="FFFFFF"/>
            <w:vAlign w:val="top"/>
          </w:tcPr>
          <w:p w14:paraId="59B88C2C">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r>
    </w:tbl>
    <w:p w14:paraId="12B333EB">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val="en-US"/>
        </w:rPr>
        <w:t> </w:t>
      </w:r>
    </w:p>
    <w:p w14:paraId="1F1B7342">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b/>
          <w:bCs/>
          <w:i w:val="0"/>
          <w:iCs w:val="0"/>
          <w:caps w:val="0"/>
          <w:color w:val="000000"/>
          <w:spacing w:val="0"/>
          <w:sz w:val="20"/>
          <w:szCs w:val="20"/>
          <w:bdr w:val="none" w:color="auto" w:sz="0" w:space="0"/>
          <w:shd w:val="clear" w:fill="FFFFFF"/>
          <w:lang w:val="en-US"/>
        </w:rPr>
        <w:t>DANH MỤC TÀI SẢN CÔNG ĐỀ NGHỊ XỬ LÝ</w:t>
      </w:r>
    </w:p>
    <w:p w14:paraId="21505518">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center"/>
        <w:rPr>
          <w:rFonts w:hint="default" w:ascii="Arial" w:hAnsi="Arial" w:cs="Arial"/>
          <w:i w:val="0"/>
          <w:iCs w:val="0"/>
          <w:caps w:val="0"/>
          <w:color w:val="000000"/>
          <w:spacing w:val="0"/>
          <w:sz w:val="18"/>
          <w:szCs w:val="18"/>
        </w:rPr>
      </w:pPr>
      <w:r>
        <w:rPr>
          <w:rFonts w:hint="default" w:ascii="Arial" w:hAnsi="Arial" w:cs="Arial"/>
          <w:i/>
          <w:iCs/>
          <w:caps w:val="0"/>
          <w:color w:val="000000"/>
          <w:spacing w:val="0"/>
          <w:sz w:val="20"/>
          <w:szCs w:val="20"/>
          <w:bdr w:val="none" w:color="auto" w:sz="0" w:space="0"/>
          <w:shd w:val="clear" w:fill="FFFFFF"/>
          <w:lang w:val="en-US"/>
        </w:rPr>
        <w:t>(Kèm theo Văn bản số………… ngày…./…./….. của……………….)</w:t>
      </w:r>
    </w:p>
    <w:tbl>
      <w:tblPr>
        <w:tblW w:w="5000" w:type="pct"/>
        <w:tblCellSpacing w:w="0"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25"/>
        <w:gridCol w:w="1555"/>
        <w:gridCol w:w="599"/>
        <w:gridCol w:w="599"/>
        <w:gridCol w:w="607"/>
        <w:gridCol w:w="680"/>
        <w:gridCol w:w="987"/>
        <w:gridCol w:w="920"/>
        <w:gridCol w:w="600"/>
        <w:gridCol w:w="687"/>
        <w:gridCol w:w="687"/>
      </w:tblGrid>
      <w:tr w14:paraId="29968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single" w:color="auto" w:sz="8" w:space="0"/>
              <w:left w:val="single" w:color="auto" w:sz="8" w:space="0"/>
              <w:bottom w:val="single" w:color="auto" w:sz="8" w:space="0"/>
              <w:right w:val="single" w:color="auto" w:sz="8" w:space="0"/>
            </w:tcBorders>
            <w:shd w:val="clear" w:color="auto" w:fill="FFFFFF"/>
            <w:vAlign w:val="center"/>
          </w:tcPr>
          <w:p w14:paraId="1FDA19CD">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STT</w:t>
            </w:r>
          </w:p>
        </w:tc>
        <w:tc>
          <w:tcPr>
            <w:tcW w:w="900" w:type="pct"/>
            <w:tcBorders>
              <w:top w:val="single" w:color="auto" w:sz="8" w:space="0"/>
              <w:left w:val="nil"/>
              <w:bottom w:val="single" w:color="auto" w:sz="8" w:space="0"/>
              <w:right w:val="single" w:color="auto" w:sz="8" w:space="0"/>
            </w:tcBorders>
            <w:shd w:val="clear" w:color="auto" w:fill="FFFFFF"/>
            <w:vAlign w:val="center"/>
          </w:tcPr>
          <w:p w14:paraId="15E312C5">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Tên tài sản (chi tiết theo từng tài sản)</w:t>
            </w:r>
          </w:p>
        </w:tc>
        <w:tc>
          <w:tcPr>
            <w:tcW w:w="350" w:type="pct"/>
            <w:tcBorders>
              <w:top w:val="single" w:color="auto" w:sz="8" w:space="0"/>
              <w:left w:val="nil"/>
              <w:bottom w:val="single" w:color="auto" w:sz="8" w:space="0"/>
              <w:right w:val="single" w:color="auto" w:sz="8" w:space="0"/>
            </w:tcBorders>
            <w:shd w:val="clear" w:color="auto" w:fill="FFFFFF"/>
            <w:vAlign w:val="center"/>
          </w:tcPr>
          <w:p w14:paraId="3CD3F11F">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Loại tài sản</w:t>
            </w:r>
          </w:p>
        </w:tc>
        <w:tc>
          <w:tcPr>
            <w:tcW w:w="350" w:type="pct"/>
            <w:tcBorders>
              <w:top w:val="single" w:color="auto" w:sz="8" w:space="0"/>
              <w:left w:val="nil"/>
              <w:bottom w:val="single" w:color="auto" w:sz="8" w:space="0"/>
              <w:right w:val="single" w:color="auto" w:sz="8" w:space="0"/>
            </w:tcBorders>
            <w:shd w:val="clear" w:color="auto" w:fill="FFFFFF"/>
            <w:vAlign w:val="center"/>
          </w:tcPr>
          <w:p w14:paraId="2F65CF7D">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Đơn vị tính</w:t>
            </w:r>
          </w:p>
        </w:tc>
        <w:tc>
          <w:tcPr>
            <w:tcW w:w="350" w:type="pct"/>
            <w:tcBorders>
              <w:top w:val="single" w:color="auto" w:sz="8" w:space="0"/>
              <w:left w:val="nil"/>
              <w:bottom w:val="single" w:color="auto" w:sz="8" w:space="0"/>
              <w:right w:val="single" w:color="auto" w:sz="8" w:space="0"/>
            </w:tcBorders>
            <w:shd w:val="clear" w:color="auto" w:fill="FFFFFF"/>
            <w:vAlign w:val="center"/>
          </w:tcPr>
          <w:p w14:paraId="03C66BDD">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Số lượng</w:t>
            </w:r>
          </w:p>
        </w:tc>
        <w:tc>
          <w:tcPr>
            <w:tcW w:w="400" w:type="pct"/>
            <w:tcBorders>
              <w:top w:val="single" w:color="auto" w:sz="8" w:space="0"/>
              <w:left w:val="nil"/>
              <w:bottom w:val="single" w:color="auto" w:sz="8" w:space="0"/>
              <w:right w:val="single" w:color="auto" w:sz="8" w:space="0"/>
            </w:tcBorders>
            <w:shd w:val="clear" w:color="auto" w:fill="FFFFFF"/>
            <w:vAlign w:val="center"/>
          </w:tcPr>
          <w:p w14:paraId="178B6A63">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Năm đưa vào sử dụng</w:t>
            </w:r>
          </w:p>
        </w:tc>
        <w:tc>
          <w:tcPr>
            <w:tcW w:w="550" w:type="pct"/>
            <w:tcBorders>
              <w:top w:val="single" w:color="auto" w:sz="8" w:space="0"/>
              <w:left w:val="nil"/>
              <w:bottom w:val="single" w:color="auto" w:sz="8" w:space="0"/>
              <w:right w:val="single" w:color="auto" w:sz="8" w:space="0"/>
            </w:tcBorders>
            <w:shd w:val="clear" w:color="auto" w:fill="FFFFFF"/>
            <w:vAlign w:val="center"/>
          </w:tcPr>
          <w:p w14:paraId="7E74AE33">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Nguyên giá </w:t>
            </w:r>
            <w:r>
              <w:rPr>
                <w:rFonts w:hint="default" w:ascii="Arial" w:hAnsi="Arial" w:cs="Arial"/>
                <w:b/>
                <w:bCs/>
                <w:i/>
                <w:iCs/>
                <w:caps w:val="0"/>
                <w:color w:val="000000"/>
                <w:spacing w:val="0"/>
                <w:sz w:val="20"/>
                <w:szCs w:val="20"/>
                <w:bdr w:val="none" w:color="auto" w:sz="0" w:space="0"/>
                <w:lang w:val="en-US"/>
              </w:rPr>
              <w:t>(đồng)</w:t>
            </w:r>
          </w:p>
        </w:tc>
        <w:tc>
          <w:tcPr>
            <w:tcW w:w="500" w:type="pct"/>
            <w:tcBorders>
              <w:top w:val="single" w:color="auto" w:sz="8" w:space="0"/>
              <w:left w:val="nil"/>
              <w:bottom w:val="single" w:color="auto" w:sz="8" w:space="0"/>
              <w:right w:val="single" w:color="auto" w:sz="8" w:space="0"/>
            </w:tcBorders>
            <w:shd w:val="clear" w:color="auto" w:fill="FFFFFF"/>
            <w:vAlign w:val="center"/>
          </w:tcPr>
          <w:p w14:paraId="0BA854A6">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Giá trị còn lại </w:t>
            </w:r>
            <w:r>
              <w:rPr>
                <w:rFonts w:hint="default" w:ascii="Arial" w:hAnsi="Arial" w:cs="Arial"/>
                <w:b/>
                <w:bCs/>
                <w:i/>
                <w:iCs/>
                <w:caps w:val="0"/>
                <w:color w:val="000000"/>
                <w:spacing w:val="0"/>
                <w:sz w:val="20"/>
                <w:szCs w:val="20"/>
                <w:bdr w:val="none" w:color="auto" w:sz="0" w:space="0"/>
                <w:lang w:val="en-US"/>
              </w:rPr>
              <w:t>(đồng)</w:t>
            </w:r>
          </w:p>
        </w:tc>
        <w:tc>
          <w:tcPr>
            <w:tcW w:w="350" w:type="pct"/>
            <w:tcBorders>
              <w:top w:val="single" w:color="auto" w:sz="8" w:space="0"/>
              <w:left w:val="nil"/>
              <w:bottom w:val="single" w:color="auto" w:sz="8" w:space="0"/>
              <w:right w:val="single" w:color="auto" w:sz="8" w:space="0"/>
            </w:tcBorders>
            <w:shd w:val="clear" w:color="auto" w:fill="FFFFFF"/>
            <w:vAlign w:val="center"/>
          </w:tcPr>
          <w:p w14:paraId="2C06907E">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Hình thức xử lý</w:t>
            </w:r>
          </w:p>
        </w:tc>
        <w:tc>
          <w:tcPr>
            <w:tcW w:w="400" w:type="pct"/>
            <w:tcBorders>
              <w:top w:val="single" w:color="auto" w:sz="8" w:space="0"/>
              <w:left w:val="nil"/>
              <w:bottom w:val="single" w:color="auto" w:sz="8" w:space="0"/>
              <w:right w:val="single" w:color="auto" w:sz="8" w:space="0"/>
            </w:tcBorders>
            <w:shd w:val="clear" w:color="auto" w:fill="FFFFFF"/>
            <w:vAlign w:val="center"/>
          </w:tcPr>
          <w:p w14:paraId="15593A7F">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Lý do đề nghị xử lý</w:t>
            </w:r>
          </w:p>
        </w:tc>
        <w:tc>
          <w:tcPr>
            <w:tcW w:w="400" w:type="pct"/>
            <w:tcBorders>
              <w:top w:val="single" w:color="auto" w:sz="8" w:space="0"/>
              <w:left w:val="nil"/>
              <w:bottom w:val="single" w:color="auto" w:sz="8" w:space="0"/>
              <w:right w:val="single" w:color="auto" w:sz="8" w:space="0"/>
            </w:tcBorders>
            <w:shd w:val="clear" w:color="auto" w:fill="FFFFFF"/>
            <w:vAlign w:val="center"/>
          </w:tcPr>
          <w:p w14:paraId="4DB11228">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Ghi chú</w:t>
            </w:r>
          </w:p>
        </w:tc>
      </w:tr>
      <w:tr w14:paraId="11D53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0B42A232">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(1)</w:t>
            </w:r>
          </w:p>
        </w:tc>
        <w:tc>
          <w:tcPr>
            <w:tcW w:w="900" w:type="pct"/>
            <w:tcBorders>
              <w:top w:val="nil"/>
              <w:left w:val="nil"/>
              <w:bottom w:val="single" w:color="auto" w:sz="8" w:space="0"/>
              <w:right w:val="single" w:color="auto" w:sz="8" w:space="0"/>
            </w:tcBorders>
            <w:shd w:val="clear" w:color="auto" w:fill="FFFFFF"/>
            <w:vAlign w:val="center"/>
          </w:tcPr>
          <w:p w14:paraId="7B0B4C32">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(2)</w:t>
            </w:r>
          </w:p>
        </w:tc>
        <w:tc>
          <w:tcPr>
            <w:tcW w:w="350" w:type="pct"/>
            <w:tcBorders>
              <w:top w:val="nil"/>
              <w:left w:val="nil"/>
              <w:bottom w:val="single" w:color="auto" w:sz="8" w:space="0"/>
              <w:right w:val="single" w:color="auto" w:sz="8" w:space="0"/>
            </w:tcBorders>
            <w:shd w:val="clear" w:color="auto" w:fill="FFFFFF"/>
            <w:vAlign w:val="center"/>
          </w:tcPr>
          <w:p w14:paraId="5820B8CB">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(3)</w:t>
            </w:r>
          </w:p>
        </w:tc>
        <w:tc>
          <w:tcPr>
            <w:tcW w:w="350" w:type="pct"/>
            <w:tcBorders>
              <w:top w:val="nil"/>
              <w:left w:val="nil"/>
              <w:bottom w:val="single" w:color="auto" w:sz="8" w:space="0"/>
              <w:right w:val="single" w:color="auto" w:sz="8" w:space="0"/>
            </w:tcBorders>
            <w:shd w:val="clear" w:color="auto" w:fill="FFFFFF"/>
            <w:vAlign w:val="center"/>
          </w:tcPr>
          <w:p w14:paraId="5F487FC8">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(4)</w:t>
            </w:r>
          </w:p>
        </w:tc>
        <w:tc>
          <w:tcPr>
            <w:tcW w:w="350" w:type="pct"/>
            <w:tcBorders>
              <w:top w:val="nil"/>
              <w:left w:val="nil"/>
              <w:bottom w:val="single" w:color="auto" w:sz="8" w:space="0"/>
              <w:right w:val="single" w:color="auto" w:sz="8" w:space="0"/>
            </w:tcBorders>
            <w:shd w:val="clear" w:color="auto" w:fill="FFFFFF"/>
            <w:vAlign w:val="center"/>
          </w:tcPr>
          <w:p w14:paraId="7753F1AC">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(5)</w:t>
            </w:r>
          </w:p>
        </w:tc>
        <w:tc>
          <w:tcPr>
            <w:tcW w:w="400" w:type="pct"/>
            <w:tcBorders>
              <w:top w:val="nil"/>
              <w:left w:val="nil"/>
              <w:bottom w:val="single" w:color="auto" w:sz="8" w:space="0"/>
              <w:right w:val="single" w:color="auto" w:sz="8" w:space="0"/>
            </w:tcBorders>
            <w:shd w:val="clear" w:color="auto" w:fill="FFFFFF"/>
            <w:vAlign w:val="center"/>
          </w:tcPr>
          <w:p w14:paraId="0CC96F57">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(6)</w:t>
            </w:r>
          </w:p>
        </w:tc>
        <w:tc>
          <w:tcPr>
            <w:tcW w:w="550" w:type="pct"/>
            <w:tcBorders>
              <w:top w:val="nil"/>
              <w:left w:val="nil"/>
              <w:bottom w:val="single" w:color="auto" w:sz="8" w:space="0"/>
              <w:right w:val="single" w:color="auto" w:sz="8" w:space="0"/>
            </w:tcBorders>
            <w:shd w:val="clear" w:color="auto" w:fill="FFFFFF"/>
            <w:vAlign w:val="center"/>
          </w:tcPr>
          <w:p w14:paraId="0ADF77E1">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(7)</w:t>
            </w:r>
          </w:p>
        </w:tc>
        <w:tc>
          <w:tcPr>
            <w:tcW w:w="500" w:type="pct"/>
            <w:tcBorders>
              <w:top w:val="nil"/>
              <w:left w:val="nil"/>
              <w:bottom w:val="single" w:color="auto" w:sz="8" w:space="0"/>
              <w:right w:val="single" w:color="auto" w:sz="8" w:space="0"/>
            </w:tcBorders>
            <w:shd w:val="clear" w:color="auto" w:fill="FFFFFF"/>
            <w:vAlign w:val="center"/>
          </w:tcPr>
          <w:p w14:paraId="5FB1A325">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(8)</w:t>
            </w:r>
          </w:p>
        </w:tc>
        <w:tc>
          <w:tcPr>
            <w:tcW w:w="350" w:type="pct"/>
            <w:tcBorders>
              <w:top w:val="nil"/>
              <w:left w:val="nil"/>
              <w:bottom w:val="single" w:color="auto" w:sz="8" w:space="0"/>
              <w:right w:val="single" w:color="auto" w:sz="8" w:space="0"/>
            </w:tcBorders>
            <w:shd w:val="clear" w:color="auto" w:fill="FFFFFF"/>
            <w:vAlign w:val="center"/>
          </w:tcPr>
          <w:p w14:paraId="5E672004">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(9)</w:t>
            </w:r>
          </w:p>
        </w:tc>
        <w:tc>
          <w:tcPr>
            <w:tcW w:w="400" w:type="pct"/>
            <w:tcBorders>
              <w:top w:val="nil"/>
              <w:left w:val="nil"/>
              <w:bottom w:val="single" w:color="auto" w:sz="8" w:space="0"/>
              <w:right w:val="single" w:color="auto" w:sz="8" w:space="0"/>
            </w:tcBorders>
            <w:shd w:val="clear" w:color="auto" w:fill="FFFFFF"/>
            <w:vAlign w:val="center"/>
          </w:tcPr>
          <w:p w14:paraId="7734C336">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(10)</w:t>
            </w:r>
          </w:p>
        </w:tc>
        <w:tc>
          <w:tcPr>
            <w:tcW w:w="400" w:type="pct"/>
            <w:tcBorders>
              <w:top w:val="nil"/>
              <w:left w:val="nil"/>
              <w:bottom w:val="single" w:color="auto" w:sz="8" w:space="0"/>
              <w:right w:val="single" w:color="auto" w:sz="8" w:space="0"/>
            </w:tcBorders>
            <w:shd w:val="clear" w:color="auto" w:fill="FFFFFF"/>
            <w:vAlign w:val="center"/>
          </w:tcPr>
          <w:p w14:paraId="21496DFC">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(11)</w:t>
            </w:r>
          </w:p>
        </w:tc>
      </w:tr>
      <w:tr w14:paraId="3E14D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50297309">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900" w:type="pct"/>
            <w:tcBorders>
              <w:top w:val="nil"/>
              <w:left w:val="nil"/>
              <w:bottom w:val="single" w:color="auto" w:sz="8" w:space="0"/>
              <w:right w:val="single" w:color="auto" w:sz="8" w:space="0"/>
            </w:tcBorders>
            <w:shd w:val="clear" w:color="auto" w:fill="FFFFFF"/>
            <w:vAlign w:val="center"/>
          </w:tcPr>
          <w:p w14:paraId="7CC37D12">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6C41E8A8">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4341A1E5">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0C66A1EF">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400" w:type="pct"/>
            <w:tcBorders>
              <w:top w:val="nil"/>
              <w:left w:val="nil"/>
              <w:bottom w:val="single" w:color="auto" w:sz="8" w:space="0"/>
              <w:right w:val="single" w:color="auto" w:sz="8" w:space="0"/>
            </w:tcBorders>
            <w:shd w:val="clear" w:color="auto" w:fill="FFFFFF"/>
            <w:vAlign w:val="center"/>
          </w:tcPr>
          <w:p w14:paraId="419F2BE9">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550" w:type="pct"/>
            <w:tcBorders>
              <w:top w:val="nil"/>
              <w:left w:val="nil"/>
              <w:bottom w:val="single" w:color="auto" w:sz="8" w:space="0"/>
              <w:right w:val="single" w:color="auto" w:sz="8" w:space="0"/>
            </w:tcBorders>
            <w:shd w:val="clear" w:color="auto" w:fill="FFFFFF"/>
            <w:vAlign w:val="center"/>
          </w:tcPr>
          <w:p w14:paraId="7429420D">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500" w:type="pct"/>
            <w:tcBorders>
              <w:top w:val="nil"/>
              <w:left w:val="nil"/>
              <w:bottom w:val="single" w:color="auto" w:sz="8" w:space="0"/>
              <w:right w:val="single" w:color="auto" w:sz="8" w:space="0"/>
            </w:tcBorders>
            <w:shd w:val="clear" w:color="auto" w:fill="FFFFFF"/>
            <w:vAlign w:val="center"/>
          </w:tcPr>
          <w:p w14:paraId="5E0C2A07">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00DF38B0">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400" w:type="pct"/>
            <w:tcBorders>
              <w:top w:val="nil"/>
              <w:left w:val="nil"/>
              <w:bottom w:val="single" w:color="auto" w:sz="8" w:space="0"/>
              <w:right w:val="single" w:color="auto" w:sz="8" w:space="0"/>
            </w:tcBorders>
            <w:shd w:val="clear" w:color="auto" w:fill="FFFFFF"/>
            <w:vAlign w:val="center"/>
          </w:tcPr>
          <w:p w14:paraId="289D0C3C">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400" w:type="pct"/>
            <w:tcBorders>
              <w:top w:val="nil"/>
              <w:left w:val="nil"/>
              <w:bottom w:val="single" w:color="auto" w:sz="8" w:space="0"/>
              <w:right w:val="single" w:color="auto" w:sz="8" w:space="0"/>
            </w:tcBorders>
            <w:shd w:val="clear" w:color="auto" w:fill="FFFFFF"/>
            <w:vAlign w:val="center"/>
          </w:tcPr>
          <w:p w14:paraId="213BC7D3">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r>
      <w:tr w14:paraId="79F95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3582A329">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900" w:type="pct"/>
            <w:tcBorders>
              <w:top w:val="nil"/>
              <w:left w:val="nil"/>
              <w:bottom w:val="single" w:color="auto" w:sz="8" w:space="0"/>
              <w:right w:val="single" w:color="auto" w:sz="8" w:space="0"/>
            </w:tcBorders>
            <w:shd w:val="clear" w:color="auto" w:fill="FFFFFF"/>
            <w:vAlign w:val="center"/>
          </w:tcPr>
          <w:p w14:paraId="7EFF2739">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285FFC42">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4D2A052C">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25EEBC98">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400" w:type="pct"/>
            <w:tcBorders>
              <w:top w:val="nil"/>
              <w:left w:val="nil"/>
              <w:bottom w:val="single" w:color="auto" w:sz="8" w:space="0"/>
              <w:right w:val="single" w:color="auto" w:sz="8" w:space="0"/>
            </w:tcBorders>
            <w:shd w:val="clear" w:color="auto" w:fill="FFFFFF"/>
            <w:vAlign w:val="center"/>
          </w:tcPr>
          <w:p w14:paraId="1043E07C">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550" w:type="pct"/>
            <w:tcBorders>
              <w:top w:val="nil"/>
              <w:left w:val="nil"/>
              <w:bottom w:val="single" w:color="auto" w:sz="8" w:space="0"/>
              <w:right w:val="single" w:color="auto" w:sz="8" w:space="0"/>
            </w:tcBorders>
            <w:shd w:val="clear" w:color="auto" w:fill="FFFFFF"/>
            <w:vAlign w:val="center"/>
          </w:tcPr>
          <w:p w14:paraId="2C4C6AFE">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500" w:type="pct"/>
            <w:tcBorders>
              <w:top w:val="nil"/>
              <w:left w:val="nil"/>
              <w:bottom w:val="single" w:color="auto" w:sz="8" w:space="0"/>
              <w:right w:val="single" w:color="auto" w:sz="8" w:space="0"/>
            </w:tcBorders>
            <w:shd w:val="clear" w:color="auto" w:fill="FFFFFF"/>
            <w:vAlign w:val="center"/>
          </w:tcPr>
          <w:p w14:paraId="2FF54804">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544D40ED">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400" w:type="pct"/>
            <w:tcBorders>
              <w:top w:val="nil"/>
              <w:left w:val="nil"/>
              <w:bottom w:val="single" w:color="auto" w:sz="8" w:space="0"/>
              <w:right w:val="single" w:color="auto" w:sz="8" w:space="0"/>
            </w:tcBorders>
            <w:shd w:val="clear" w:color="auto" w:fill="FFFFFF"/>
            <w:vAlign w:val="center"/>
          </w:tcPr>
          <w:p w14:paraId="775573C2">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400" w:type="pct"/>
            <w:tcBorders>
              <w:top w:val="nil"/>
              <w:left w:val="nil"/>
              <w:bottom w:val="single" w:color="auto" w:sz="8" w:space="0"/>
              <w:right w:val="single" w:color="auto" w:sz="8" w:space="0"/>
            </w:tcBorders>
            <w:shd w:val="clear" w:color="auto" w:fill="FFFFFF"/>
            <w:vAlign w:val="center"/>
          </w:tcPr>
          <w:p w14:paraId="62DD4D4B">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r>
      <w:tr w14:paraId="277AF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59F1261C">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900" w:type="pct"/>
            <w:tcBorders>
              <w:top w:val="nil"/>
              <w:left w:val="nil"/>
              <w:bottom w:val="single" w:color="auto" w:sz="8" w:space="0"/>
              <w:right w:val="single" w:color="auto" w:sz="8" w:space="0"/>
            </w:tcBorders>
            <w:shd w:val="clear" w:color="auto" w:fill="FFFFFF"/>
            <w:vAlign w:val="center"/>
          </w:tcPr>
          <w:p w14:paraId="4EE18768">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2806B482">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773BDC45">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7F410C74">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400" w:type="pct"/>
            <w:tcBorders>
              <w:top w:val="nil"/>
              <w:left w:val="nil"/>
              <w:bottom w:val="single" w:color="auto" w:sz="8" w:space="0"/>
              <w:right w:val="single" w:color="auto" w:sz="8" w:space="0"/>
            </w:tcBorders>
            <w:shd w:val="clear" w:color="auto" w:fill="FFFFFF"/>
            <w:vAlign w:val="center"/>
          </w:tcPr>
          <w:p w14:paraId="12300FD6">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550" w:type="pct"/>
            <w:tcBorders>
              <w:top w:val="nil"/>
              <w:left w:val="nil"/>
              <w:bottom w:val="single" w:color="auto" w:sz="8" w:space="0"/>
              <w:right w:val="single" w:color="auto" w:sz="8" w:space="0"/>
            </w:tcBorders>
            <w:shd w:val="clear" w:color="auto" w:fill="FFFFFF"/>
            <w:vAlign w:val="center"/>
          </w:tcPr>
          <w:p w14:paraId="1807F432">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500" w:type="pct"/>
            <w:tcBorders>
              <w:top w:val="nil"/>
              <w:left w:val="nil"/>
              <w:bottom w:val="single" w:color="auto" w:sz="8" w:space="0"/>
              <w:right w:val="single" w:color="auto" w:sz="8" w:space="0"/>
            </w:tcBorders>
            <w:shd w:val="clear" w:color="auto" w:fill="FFFFFF"/>
            <w:vAlign w:val="center"/>
          </w:tcPr>
          <w:p w14:paraId="2DB2E3B3">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5419F908">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400" w:type="pct"/>
            <w:tcBorders>
              <w:top w:val="nil"/>
              <w:left w:val="nil"/>
              <w:bottom w:val="single" w:color="auto" w:sz="8" w:space="0"/>
              <w:right w:val="single" w:color="auto" w:sz="8" w:space="0"/>
            </w:tcBorders>
            <w:shd w:val="clear" w:color="auto" w:fill="FFFFFF"/>
            <w:vAlign w:val="center"/>
          </w:tcPr>
          <w:p w14:paraId="110C7664">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400" w:type="pct"/>
            <w:tcBorders>
              <w:top w:val="nil"/>
              <w:left w:val="nil"/>
              <w:bottom w:val="single" w:color="auto" w:sz="8" w:space="0"/>
              <w:right w:val="single" w:color="auto" w:sz="8" w:space="0"/>
            </w:tcBorders>
            <w:shd w:val="clear" w:color="auto" w:fill="FFFFFF"/>
            <w:vAlign w:val="center"/>
          </w:tcPr>
          <w:p w14:paraId="6C15475B">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r>
      <w:tr w14:paraId="2547F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250" w:type="pct"/>
            <w:tcBorders>
              <w:top w:val="nil"/>
              <w:left w:val="single" w:color="auto" w:sz="8" w:space="0"/>
              <w:bottom w:val="single" w:color="auto" w:sz="8" w:space="0"/>
              <w:right w:val="single" w:color="auto" w:sz="8" w:space="0"/>
            </w:tcBorders>
            <w:shd w:val="clear" w:color="auto" w:fill="FFFFFF"/>
            <w:vAlign w:val="center"/>
          </w:tcPr>
          <w:p w14:paraId="7E43B2C1">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900" w:type="pct"/>
            <w:tcBorders>
              <w:top w:val="nil"/>
              <w:left w:val="nil"/>
              <w:bottom w:val="single" w:color="auto" w:sz="8" w:space="0"/>
              <w:right w:val="single" w:color="auto" w:sz="8" w:space="0"/>
            </w:tcBorders>
            <w:shd w:val="clear" w:color="auto" w:fill="FFFFFF"/>
            <w:vAlign w:val="center"/>
          </w:tcPr>
          <w:p w14:paraId="10D02BAD">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Tổng cộng:</w:t>
            </w:r>
          </w:p>
        </w:tc>
        <w:tc>
          <w:tcPr>
            <w:tcW w:w="350" w:type="pct"/>
            <w:tcBorders>
              <w:top w:val="nil"/>
              <w:left w:val="nil"/>
              <w:bottom w:val="single" w:color="auto" w:sz="8" w:space="0"/>
              <w:right w:val="single" w:color="auto" w:sz="8" w:space="0"/>
            </w:tcBorders>
            <w:shd w:val="clear" w:color="auto" w:fill="FFFFFF"/>
            <w:vAlign w:val="center"/>
          </w:tcPr>
          <w:p w14:paraId="2214B61E">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558EDAAE">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1EEA8129">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400" w:type="pct"/>
            <w:tcBorders>
              <w:top w:val="nil"/>
              <w:left w:val="nil"/>
              <w:bottom w:val="single" w:color="auto" w:sz="8" w:space="0"/>
              <w:right w:val="single" w:color="auto" w:sz="8" w:space="0"/>
            </w:tcBorders>
            <w:shd w:val="clear" w:color="auto" w:fill="FFFFFF"/>
            <w:vAlign w:val="center"/>
          </w:tcPr>
          <w:p w14:paraId="393BB0A4">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550" w:type="pct"/>
            <w:tcBorders>
              <w:top w:val="nil"/>
              <w:left w:val="nil"/>
              <w:bottom w:val="single" w:color="auto" w:sz="8" w:space="0"/>
              <w:right w:val="single" w:color="auto" w:sz="8" w:space="0"/>
            </w:tcBorders>
            <w:shd w:val="clear" w:color="auto" w:fill="FFFFFF"/>
            <w:vAlign w:val="center"/>
          </w:tcPr>
          <w:p w14:paraId="75ABDE8C">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500" w:type="pct"/>
            <w:tcBorders>
              <w:top w:val="nil"/>
              <w:left w:val="nil"/>
              <w:bottom w:val="single" w:color="auto" w:sz="8" w:space="0"/>
              <w:right w:val="single" w:color="auto" w:sz="8" w:space="0"/>
            </w:tcBorders>
            <w:shd w:val="clear" w:color="auto" w:fill="FFFFFF"/>
            <w:vAlign w:val="center"/>
          </w:tcPr>
          <w:p w14:paraId="7E84614A">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50" w:type="pct"/>
            <w:tcBorders>
              <w:top w:val="nil"/>
              <w:left w:val="nil"/>
              <w:bottom w:val="single" w:color="auto" w:sz="8" w:space="0"/>
              <w:right w:val="single" w:color="auto" w:sz="8" w:space="0"/>
            </w:tcBorders>
            <w:shd w:val="clear" w:color="auto" w:fill="FFFFFF"/>
            <w:vAlign w:val="center"/>
          </w:tcPr>
          <w:p w14:paraId="1193B786">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400" w:type="pct"/>
            <w:tcBorders>
              <w:top w:val="nil"/>
              <w:left w:val="nil"/>
              <w:bottom w:val="single" w:color="auto" w:sz="8" w:space="0"/>
              <w:right w:val="single" w:color="auto" w:sz="8" w:space="0"/>
            </w:tcBorders>
            <w:shd w:val="clear" w:color="auto" w:fill="FFFFFF"/>
            <w:vAlign w:val="center"/>
          </w:tcPr>
          <w:p w14:paraId="0C7DB083">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400" w:type="pct"/>
            <w:tcBorders>
              <w:top w:val="nil"/>
              <w:left w:val="nil"/>
              <w:bottom w:val="single" w:color="auto" w:sz="8" w:space="0"/>
              <w:right w:val="single" w:color="auto" w:sz="8" w:space="0"/>
            </w:tcBorders>
            <w:shd w:val="clear" w:color="auto" w:fill="FFFFFF"/>
            <w:vAlign w:val="center"/>
          </w:tcPr>
          <w:p w14:paraId="1DADB56F">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r>
    </w:tbl>
    <w:p w14:paraId="6F87B105">
      <w:pPr>
        <w:pStyle w:val="6"/>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w:t>
      </w:r>
    </w:p>
    <w:tbl>
      <w:tblPr>
        <w:tblW w:w="495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073"/>
        <w:gridCol w:w="5150"/>
      </w:tblGrid>
      <w:tr w14:paraId="3BCF2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850" w:type="pct"/>
            <w:shd w:val="clear" w:color="auto" w:fill="FFFFFF"/>
            <w:vAlign w:val="top"/>
          </w:tcPr>
          <w:p w14:paraId="44854794">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i w:val="0"/>
                <w:iCs w:val="0"/>
                <w:caps w:val="0"/>
                <w:color w:val="000000"/>
                <w:spacing w:val="0"/>
                <w:sz w:val="20"/>
                <w:szCs w:val="20"/>
                <w:bdr w:val="none" w:color="auto" w:sz="0" w:space="0"/>
                <w:lang w:val="en-US"/>
              </w:rPr>
              <w:t> </w:t>
            </w:r>
          </w:p>
        </w:tc>
        <w:tc>
          <w:tcPr>
            <w:tcW w:w="3100" w:type="pct"/>
            <w:shd w:val="clear" w:color="auto" w:fill="FFFFFF"/>
            <w:vAlign w:val="top"/>
          </w:tcPr>
          <w:p w14:paraId="64CF4E11">
            <w:pPr>
              <w:pStyle w:val="6"/>
              <w:keepNext w:val="0"/>
              <w:keepLines w:val="0"/>
              <w:widowControl/>
              <w:suppressLineNumbers w:val="0"/>
              <w:pBdr>
                <w:left w:val="none" w:color="auto" w:sz="0" w:space="0"/>
                <w:right w:val="none" w:color="auto" w:sz="0" w:space="0"/>
              </w:pBdr>
              <w:spacing w:before="120" w:beforeAutospacing="0" w:after="0" w:afterAutospacing="0" w:line="225" w:lineRule="atLeast"/>
              <w:ind w:left="0" w:right="0"/>
              <w:jc w:val="center"/>
            </w:pPr>
            <w:r>
              <w:rPr>
                <w:rFonts w:hint="default" w:ascii="Arial" w:hAnsi="Arial" w:cs="Arial"/>
                <w:b/>
                <w:bCs/>
                <w:i w:val="0"/>
                <w:iCs w:val="0"/>
                <w:caps w:val="0"/>
                <w:color w:val="000000"/>
                <w:spacing w:val="0"/>
                <w:sz w:val="20"/>
                <w:szCs w:val="20"/>
                <w:bdr w:val="none" w:color="auto" w:sz="0" w:space="0"/>
                <w:lang w:val="en-US"/>
              </w:rPr>
              <w:t>THỦ TRƯỞNG CƠ QUAN, TỔ CHỨC, ĐƠN VỊ</w:t>
            </w:r>
            <w:r>
              <w:rPr>
                <w:rFonts w:hint="default" w:ascii="Arial" w:hAnsi="Arial" w:cs="Arial"/>
                <w:i w:val="0"/>
                <w:iCs w:val="0"/>
                <w:caps w:val="0"/>
                <w:color w:val="000000"/>
                <w:spacing w:val="0"/>
                <w:sz w:val="20"/>
                <w:szCs w:val="20"/>
                <w:bdr w:val="none" w:color="auto" w:sz="0" w:space="0"/>
                <w:lang w:val="en-US"/>
              </w:rPr>
              <w:br w:type="textWrapping"/>
            </w:r>
            <w:r>
              <w:rPr>
                <w:rFonts w:hint="default" w:ascii="Arial" w:hAnsi="Arial" w:cs="Arial"/>
                <w:i/>
                <w:iCs/>
                <w:caps w:val="0"/>
                <w:color w:val="000000"/>
                <w:spacing w:val="0"/>
                <w:sz w:val="20"/>
                <w:szCs w:val="20"/>
                <w:bdr w:val="none" w:color="auto" w:sz="0" w:space="0"/>
                <w:lang w:val="en-US"/>
              </w:rPr>
              <w:t>(Ký, ghi rõ họ tên, đóng dấu)</w:t>
            </w:r>
          </w:p>
        </w:tc>
      </w:tr>
    </w:tbl>
    <w:p w14:paraId="1E9F4D7F">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b/>
          <w:bCs/>
          <w:i/>
          <w:iCs/>
          <w:caps w:val="0"/>
          <w:color w:val="000000"/>
          <w:spacing w:val="0"/>
          <w:sz w:val="20"/>
          <w:szCs w:val="20"/>
          <w:bdr w:val="none" w:color="auto" w:sz="0" w:space="0"/>
          <w:shd w:val="clear" w:fill="FFFFFF"/>
          <w:lang w:val="en-US"/>
        </w:rPr>
        <w:t>Ghi chú:</w:t>
      </w:r>
    </w:p>
    <w:p w14:paraId="43CED395">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Cột (7), (8): Ghi theo nguyên giá, giá trị còn lại đang được theo dõi trên sổ kế toán.</w:t>
      </w:r>
    </w:p>
    <w:p w14:paraId="20641CA5">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Cột (9): Ghi cụ thể hình thức xử lý theo quy định tại Điều 40 </w:t>
      </w:r>
      <w:bookmarkStart w:id="3" w:name="tvpllink_tmztcowzkm_8"/>
      <w:r>
        <w:rPr>
          <w:rFonts w:hint="default" w:ascii="Arial" w:hAnsi="Arial" w:cs="Arial"/>
          <w:i w:val="0"/>
          <w:iCs w:val="0"/>
          <w:caps w:val="0"/>
          <w:color w:val="0E70C3"/>
          <w:spacing w:val="0"/>
          <w:sz w:val="20"/>
          <w:szCs w:val="20"/>
          <w:u w:val="none"/>
          <w:bdr w:val="none" w:color="auto" w:sz="0" w:space="0"/>
          <w:shd w:val="clear" w:fill="FFFFFF"/>
          <w:lang w:val="en-US"/>
        </w:rPr>
        <w:fldChar w:fldCharType="begin"/>
      </w:r>
      <w:r>
        <w:rPr>
          <w:rFonts w:hint="default" w:ascii="Arial" w:hAnsi="Arial" w:cs="Arial"/>
          <w:i w:val="0"/>
          <w:iCs w:val="0"/>
          <w:caps w:val="0"/>
          <w:color w:val="0E70C3"/>
          <w:spacing w:val="0"/>
          <w:sz w:val="20"/>
          <w:szCs w:val="20"/>
          <w:u w:val="none"/>
          <w:bdr w:val="none" w:color="auto" w:sz="0" w:space="0"/>
          <w:shd w:val="clear" w:fill="FFFFFF"/>
          <w:lang w:val="en-US"/>
        </w:rPr>
        <w:instrText xml:space="preserve"> HYPERLINK "https://thuvienphapluat.vn/van-ban/Tai-chinh-nha-nuoc/Luat-Quan-ly-su-dung-tai-san-cong-2017-322220.aspx" \t "https://thuvienphapluat.vn/van-ban/Tai-chinh-nha-nuoc/_blank" </w:instrText>
      </w:r>
      <w:r>
        <w:rPr>
          <w:rFonts w:hint="default" w:ascii="Arial" w:hAnsi="Arial" w:cs="Arial"/>
          <w:i w:val="0"/>
          <w:iCs w:val="0"/>
          <w:caps w:val="0"/>
          <w:color w:val="0E70C3"/>
          <w:spacing w:val="0"/>
          <w:sz w:val="20"/>
          <w:szCs w:val="20"/>
          <w:u w:val="none"/>
          <w:bdr w:val="none" w:color="auto" w:sz="0" w:space="0"/>
          <w:shd w:val="clear" w:fill="FFFFFF"/>
          <w:lang w:val="en-US"/>
        </w:rPr>
        <w:fldChar w:fldCharType="separate"/>
      </w:r>
      <w:r>
        <w:rPr>
          <w:rStyle w:val="5"/>
          <w:rFonts w:hint="default" w:ascii="Arial" w:hAnsi="Arial" w:cs="Arial"/>
          <w:i w:val="0"/>
          <w:iCs w:val="0"/>
          <w:caps w:val="0"/>
          <w:color w:val="0E70C3"/>
          <w:spacing w:val="0"/>
          <w:sz w:val="20"/>
          <w:szCs w:val="20"/>
          <w:u w:val="none"/>
          <w:bdr w:val="none" w:color="auto" w:sz="0" w:space="0"/>
          <w:shd w:val="clear" w:fill="FFFFFF"/>
          <w:lang w:val="en-US"/>
        </w:rPr>
        <w:t>Luật Quản lý, sử dụng tài sản công</w:t>
      </w:r>
      <w:bookmarkEnd w:id="3"/>
      <w:r>
        <w:rPr>
          <w:rFonts w:hint="default" w:ascii="Arial" w:hAnsi="Arial" w:cs="Arial"/>
          <w:i w:val="0"/>
          <w:iCs w:val="0"/>
          <w:caps w:val="0"/>
          <w:color w:val="0E70C3"/>
          <w:spacing w:val="0"/>
          <w:sz w:val="20"/>
          <w:szCs w:val="20"/>
          <w:u w:val="none"/>
          <w:bdr w:val="none" w:color="auto" w:sz="0" w:space="0"/>
          <w:shd w:val="clear" w:fill="FFFFFF"/>
          <w:lang w:val="en-US"/>
        </w:rPr>
        <w:fldChar w:fldCharType="end"/>
      </w:r>
      <w:r>
        <w:rPr>
          <w:rFonts w:hint="default" w:ascii="Arial" w:hAnsi="Arial" w:cs="Arial"/>
          <w:i w:val="0"/>
          <w:iCs w:val="0"/>
          <w:caps w:val="0"/>
          <w:color w:val="000000"/>
          <w:spacing w:val="0"/>
          <w:sz w:val="20"/>
          <w:szCs w:val="20"/>
          <w:bdr w:val="none" w:color="auto" w:sz="0" w:space="0"/>
          <w:shd w:val="clear" w:fill="FFFFFF"/>
          <w:lang w:val="en-US"/>
        </w:rPr>
        <w:t>. Đối với tài sản đề nghị xử lý theo hình thức bán tài sản thì ghi rõ hình thức bán đấu giá, bán niêm yết giá, bán chỉ định trong trường hợp đã xác định được phương thức thức bán cụ thể.</w:t>
      </w:r>
    </w:p>
    <w:p w14:paraId="19D62C84">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Cột (10): Ghi cụ thể trường hợp áp dụng theo quy định tại khoản 1 Điều 41, khoản 1 Điều 42, khoản 1 Điều 43, khoản 1 Điều 45, khoản 1 Điều 46, Điều 47 </w:t>
      </w:r>
      <w:bookmarkStart w:id="4" w:name="tvpllink_tmztcowzkm_9"/>
      <w:r>
        <w:rPr>
          <w:rFonts w:hint="default" w:ascii="Arial" w:hAnsi="Arial" w:cs="Arial"/>
          <w:i w:val="0"/>
          <w:iCs w:val="0"/>
          <w:caps w:val="0"/>
          <w:color w:val="0E70C3"/>
          <w:spacing w:val="0"/>
          <w:sz w:val="20"/>
          <w:szCs w:val="20"/>
          <w:u w:val="none"/>
          <w:bdr w:val="none" w:color="auto" w:sz="0" w:space="0"/>
          <w:shd w:val="clear" w:fill="FFFFFF"/>
          <w:lang w:val="en-US"/>
        </w:rPr>
        <w:fldChar w:fldCharType="begin"/>
      </w:r>
      <w:r>
        <w:rPr>
          <w:rFonts w:hint="default" w:ascii="Arial" w:hAnsi="Arial" w:cs="Arial"/>
          <w:i w:val="0"/>
          <w:iCs w:val="0"/>
          <w:caps w:val="0"/>
          <w:color w:val="0E70C3"/>
          <w:spacing w:val="0"/>
          <w:sz w:val="20"/>
          <w:szCs w:val="20"/>
          <w:u w:val="none"/>
          <w:bdr w:val="none" w:color="auto" w:sz="0" w:space="0"/>
          <w:shd w:val="clear" w:fill="FFFFFF"/>
          <w:lang w:val="en-US"/>
        </w:rPr>
        <w:instrText xml:space="preserve"> HYPERLINK "https://thuvienphapluat.vn/van-ban/Tai-chinh-nha-nuoc/Luat-Quan-ly-su-dung-tai-san-cong-2017-322220.aspx" \t "https://thuvienphapluat.vn/van-ban/Tai-chinh-nha-nuoc/_blank" </w:instrText>
      </w:r>
      <w:r>
        <w:rPr>
          <w:rFonts w:hint="default" w:ascii="Arial" w:hAnsi="Arial" w:cs="Arial"/>
          <w:i w:val="0"/>
          <w:iCs w:val="0"/>
          <w:caps w:val="0"/>
          <w:color w:val="0E70C3"/>
          <w:spacing w:val="0"/>
          <w:sz w:val="20"/>
          <w:szCs w:val="20"/>
          <w:u w:val="none"/>
          <w:bdr w:val="none" w:color="auto" w:sz="0" w:space="0"/>
          <w:shd w:val="clear" w:fill="FFFFFF"/>
          <w:lang w:val="en-US"/>
        </w:rPr>
        <w:fldChar w:fldCharType="separate"/>
      </w:r>
      <w:r>
        <w:rPr>
          <w:rStyle w:val="5"/>
          <w:rFonts w:hint="default" w:ascii="Arial" w:hAnsi="Arial" w:cs="Arial"/>
          <w:i w:val="0"/>
          <w:iCs w:val="0"/>
          <w:caps w:val="0"/>
          <w:color w:val="0E70C3"/>
          <w:spacing w:val="0"/>
          <w:sz w:val="20"/>
          <w:szCs w:val="20"/>
          <w:u w:val="none"/>
          <w:bdr w:val="none" w:color="auto" w:sz="0" w:space="0"/>
          <w:shd w:val="clear" w:fill="FFFFFF"/>
          <w:lang w:val="en-US"/>
        </w:rPr>
        <w:t>Luật Quản lý, sử dụng tài sản công</w:t>
      </w:r>
      <w:bookmarkEnd w:id="4"/>
      <w:r>
        <w:rPr>
          <w:rFonts w:hint="default" w:ascii="Arial" w:hAnsi="Arial" w:cs="Arial"/>
          <w:i w:val="0"/>
          <w:iCs w:val="0"/>
          <w:caps w:val="0"/>
          <w:color w:val="0E70C3"/>
          <w:spacing w:val="0"/>
          <w:sz w:val="20"/>
          <w:szCs w:val="20"/>
          <w:u w:val="none"/>
          <w:bdr w:val="none" w:color="auto" w:sz="0" w:space="0"/>
          <w:shd w:val="clear" w:fill="FFFFFF"/>
          <w:lang w:val="en-US"/>
        </w:rPr>
        <w:fldChar w:fldCharType="end"/>
      </w:r>
      <w:r>
        <w:rPr>
          <w:rFonts w:hint="default" w:ascii="Arial" w:hAnsi="Arial" w:cs="Arial"/>
          <w:i w:val="0"/>
          <w:iCs w:val="0"/>
          <w:caps w:val="0"/>
          <w:color w:val="000000"/>
          <w:spacing w:val="0"/>
          <w:sz w:val="20"/>
          <w:szCs w:val="20"/>
          <w:bdr w:val="none" w:color="auto" w:sz="0" w:space="0"/>
          <w:shd w:val="clear" w:fill="FFFFFF"/>
          <w:lang w:val="en-US"/>
        </w:rPr>
        <w:t>. Ví dụ: trụ sở làm việc không sử dụng liên tục quá 12 tháng; thay đổi cơ quan quản lý, cơ cấu tổ chức, phân cấp quản lý; cơ quan được giao sử dụng tài sản không còn nhu cầu sử dụng;.... Đồng thời, thuyết minh cụ thể để làm rõ việc xác định trường hợp áp dụng khi đề nghị xử lý tài sản. Trường hợp đề nghị thanh lý trong trường hợp tài sản chưa hết thời gian sử dụng nhưng bị hư hỏng mà việc sửa chữa không hiệu quả thì thuyết minh cụ thể dự kiến chi phí sửa chữa tài sản (theo báo giá của đơn vị có chức năng sửa chữa).</w:t>
      </w:r>
    </w:p>
    <w:p w14:paraId="440C3C05">
      <w:pPr>
        <w:pStyle w:val="6"/>
        <w:keepNext w:val="0"/>
        <w:keepLines w:val="0"/>
        <w:widowControl/>
        <w:suppressLineNumbers w:val="0"/>
        <w:pBdr>
          <w:left w:val="none" w:color="auto" w:sz="0" w:space="0"/>
          <w:right w:val="none" w:color="auto" w:sz="0" w:space="0"/>
        </w:pBdr>
        <w:shd w:val="clear" w:fill="FFFFFF"/>
        <w:spacing w:before="120" w:beforeAutospacing="0" w:after="0" w:afterAutospacing="0" w:line="225" w:lineRule="atLeast"/>
        <w:ind w:left="0" w:right="0" w:firstLine="0"/>
        <w:jc w:val="left"/>
        <w:rPr>
          <w:rFonts w:hint="default" w:ascii="Arial" w:hAnsi="Arial" w:cs="Arial"/>
          <w:i w:val="0"/>
          <w:iCs w:val="0"/>
          <w:caps w:val="0"/>
          <w:color w:val="000000"/>
          <w:spacing w:val="0"/>
          <w:sz w:val="18"/>
          <w:szCs w:val="18"/>
        </w:rPr>
      </w:pPr>
      <w:r>
        <w:rPr>
          <w:rFonts w:hint="default" w:ascii="Arial" w:hAnsi="Arial" w:cs="Arial"/>
          <w:i w:val="0"/>
          <w:iCs w:val="0"/>
          <w:caps w:val="0"/>
          <w:color w:val="000000"/>
          <w:spacing w:val="0"/>
          <w:sz w:val="20"/>
          <w:szCs w:val="20"/>
          <w:bdr w:val="none" w:color="auto" w:sz="0" w:space="0"/>
          <w:shd w:val="clear" w:fill="FFFFFF"/>
          <w:lang w:val="en-US"/>
        </w:rPr>
        <w:t>- Căn cứ vào danh mục tài sản đề nghị cụ thể, cơ quan, tổ chức, đơn vị bổ sung, chỉnh lý nội dung của các cột chỉ tiêu cho phù hợp. Ví dụ: khi đề xuất xử lý trụ sở làm việc, cơ sở hoạt động sự nghiệp bổ sung cột diện tích đất, diện tích sàn xây dựng nhà; khi đề nghị xử lý tài sản gắn với việc chuyển đổi công năng sử dụng thì bổ sung cột mục đích sử dụng hiện tại, mục đích sử dụng sau khi xử lý;...</w:t>
      </w:r>
    </w:p>
    <w:p w14:paraId="6A86AB71">
      <w:bookmarkStart w:id="5" w:name="_GoBack"/>
      <w:bookmarkEnd w:id="5"/>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6F05B3"/>
    <w:rsid w:val="285B1847"/>
    <w:rsid w:val="676F0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74</TotalTime>
  <ScaleCrop>false</ScaleCrop>
  <LinksUpToDate>false</LinksUpToDate>
  <CharactersWithSpaces>0</CharactersWithSpaces>
  <Application>WPS Office_12.2.0.21931_F1E327BC-269C-435d-A152-05C5408002CA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2025-07-16T01:16:00Z</dcterms:created>
  <dc:creator>Admin</dc:creator>
  <cp:lastModifiedBy>Anh Huỳnh</cp:lastModifiedBy>
  <dcterms:modified xsi:type="dcterms:W3CDTF">2025-07-16T02:31:04Z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511ABE745B2A4FF2B52C450A157245CA_13</vt:lpwstr>
  </property>
</Properties>
</file>