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sz w:val="20"/>
                <w:rtl w:val="0"/>
              </w:rPr>
              <w:t>BỘ TÀI CHÍNH</w:t>
            </w:r>
            <w:r>
              <w:rPr>
                <w:sz w:val="20"/>
                <w:rtl w:val="0"/>
              </w:rPr>
              <w:br/>
            </w:r>
            <w:r>
              <w:rPr>
                <w:b/>
                <w:bCs/>
                <w:sz w:val="20"/>
                <w:rtl w:val="0"/>
              </w:rPr>
              <w:t>CỤC HẢI QUAN</w:t>
            </w:r>
            <w:r>
              <w:rPr>
                <w:b/>
                <w:bCs/>
                <w:sz w:val="20"/>
                <w:rtl w:val="0"/>
              </w:rPr>
              <w:br/>
            </w:r>
            <w:r>
              <w:rPr>
                <w:b/>
                <w:bCs/>
                <w:sz w:val="20"/>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sz w:val="20"/>
                <w:rtl w:val="0"/>
              </w:rPr>
              <w:t>CỘNG HÒA XÃ HỘI CHỦ NGHĨA VIỆT NAM</w:t>
            </w:r>
            <w:r>
              <w:rPr>
                <w:b/>
                <w:bCs/>
                <w:sz w:val="20"/>
                <w:rtl w:val="0"/>
              </w:rPr>
              <w:br/>
            </w:r>
            <w:r>
              <w:rPr>
                <w:b/>
                <w:bCs/>
                <w:sz w:val="20"/>
                <w:rtl w:val="0"/>
              </w:rPr>
              <w:t xml:space="preserve">Độc lập - Tự do - Hạnh phúc </w:t>
            </w:r>
            <w:r>
              <w:rPr>
                <w:b/>
                <w:bCs/>
                <w:sz w:val="20"/>
                <w:rtl w:val="0"/>
              </w:rPr>
              <w:br/>
            </w:r>
            <w:r>
              <w:rPr>
                <w:b/>
                <w:bCs/>
                <w:sz w:val="20"/>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r>
              <w:rPr>
                <w:sz w:val="20"/>
                <w:rtl w:val="0"/>
              </w:rPr>
              <w:t>Số: 23481/CHQ-GSQL</w:t>
            </w:r>
            <w:r>
              <w:rPr>
                <w:sz w:val="20"/>
                <w:rtl w:val="0"/>
              </w:rPr>
              <w:br/>
            </w:r>
            <w:r>
              <w:rPr>
                <w:i/>
                <w:iCs/>
                <w:sz w:val="16"/>
                <w:rtl w:val="0"/>
              </w:rPr>
              <w:t>V/v hướng dẫn thủ tục hải quan khi thay đổi tên doanh nghiệp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sz w:val="20"/>
                <w:rtl w:val="0"/>
              </w:rPr>
              <w:t>Hà Nội, ngày 26 tháng 10 năm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sz w:val="20"/>
          <w:rtl w:val="0"/>
        </w:rPr>
        <w:t>Kính gửi:</w:t>
      </w:r>
      <w:r>
        <w:rPr>
          <w:sz w:val="20"/>
          <w:rtl w:val="0"/>
        </w:rPr>
        <w:t xml:space="preserve"> Công ty TNHH Surventis</w:t>
      </w:r>
      <w:r>
        <w:rPr>
          <w:sz w:val="20"/>
          <w:rtl w:val="0"/>
        </w:rPr>
        <w:br/>
      </w:r>
      <w:r>
        <w:rPr>
          <w:i/>
          <w:iCs/>
          <w:sz w:val="20"/>
          <w:rtl w:val="0"/>
        </w:rPr>
        <w:t>(Đ/c: 33 Lê Duẩn, Phường Sài Gòn, Thành phố Hồ Chí Minh)</w:t>
      </w:r>
    </w:p>
    <w:p>
      <w:pPr>
        <w:bidi w:val="0"/>
        <w:spacing w:before="120" w:beforeAutospacing="0" w:after="280" w:afterAutospacing="1"/>
      </w:pPr>
      <w:r>
        <w:rPr>
          <w:sz w:val="20"/>
          <w:rtl w:val="0"/>
        </w:rPr>
        <w:t>Trả lời công văn số 071026/2026/CV-SUR ngày 07/10/2026 của Công ty TNHH Surventis về việc thông báo thay đổi tên doanh nghiệp, Cục Hải quan có ý kiến như sau:</w:t>
      </w:r>
    </w:p>
    <w:p>
      <w:pPr>
        <w:bidi w:val="0"/>
        <w:spacing w:before="120" w:beforeAutospacing="0" w:after="280" w:afterAutospacing="1"/>
      </w:pPr>
      <w:r>
        <w:rPr>
          <w:sz w:val="20"/>
          <w:rtl w:val="0"/>
        </w:rPr>
        <w:t xml:space="preserve">Căn cứ Điều 32 Luật Hải quan ngày 23/6/2014; điểm a khoản 5 Điều 6 Thông tư 38/2015/TT-BTC ngày 25/3/2015 của Bộ Tài chính. Theo đó, sau khi hoàn thành thủ tục đổi tên công ty từ </w:t>
      </w:r>
      <w:r>
        <w:rPr>
          <w:i/>
          <w:iCs/>
          <w:sz w:val="20"/>
          <w:rtl w:val="0"/>
        </w:rPr>
        <w:t xml:space="preserve">“Công ty TNHH BASF Coatings Việt Nam” </w:t>
      </w:r>
      <w:r>
        <w:rPr>
          <w:sz w:val="20"/>
          <w:rtl w:val="0"/>
        </w:rPr>
        <w:t xml:space="preserve">sang tên </w:t>
      </w:r>
      <w:r>
        <w:rPr>
          <w:i/>
          <w:iCs/>
          <w:sz w:val="20"/>
          <w:rtl w:val="0"/>
        </w:rPr>
        <w:t>“Công ty TNHH Surventis”</w:t>
      </w:r>
      <w:r>
        <w:rPr>
          <w:sz w:val="20"/>
          <w:rtl w:val="0"/>
        </w:rPr>
        <w:t>, trường hợp các chứng từ thuộc bộ hồ sơ hải quan đối với hàng hoá nhập khẩu được thể hiện dưới tên Công ty cũ, đề nghị Công ty liên hệ với các đơn vị có liên quan thực hiện điều chỉnh tên công ty sang tên mới để làm thủ tục nhập khẩu hàng hoá.</w:t>
      </w:r>
    </w:p>
    <w:p>
      <w:pPr>
        <w:bidi w:val="0"/>
        <w:spacing w:before="120" w:beforeAutospacing="0" w:after="280" w:afterAutospacing="1"/>
      </w:pPr>
      <w:r>
        <w:rPr>
          <w:sz w:val="20"/>
          <w:rtl w:val="0"/>
        </w:rPr>
        <w:t>Đối với Giấy phép nhập khẩu, Giấy chứng nhận kiểm tra chuyên ngành đã được cấp với tên công ty cũ, đề nghị Công ty liên hệ cơ quan kiểm tra chuyên ngành đã cấp các giấy tờ nêu trên để được hướng dẫn theo thẩm quyền.</w:t>
      </w:r>
    </w:p>
    <w:p>
      <w:pPr>
        <w:bidi w:val="0"/>
        <w:spacing w:before="120" w:beforeAutospacing="0" w:after="280" w:afterAutospacing="1"/>
      </w:pPr>
      <w:r>
        <w:rPr>
          <w:sz w:val="20"/>
          <w:rtl w:val="0"/>
        </w:rPr>
        <w:t xml:space="preserve">Cục Hải quan trả lời để Công ty TNHH Surventis biết, thực hiện./. </w:t>
      </w:r>
    </w:p>
    <w:p>
      <w:pPr>
        <w:bidi w:val="0"/>
        <w:spacing w:before="120" w:beforeAutospacing="0" w:after="280" w:afterAutospacing="1"/>
      </w:pPr>
      <w:r>
        <w:rPr>
          <w:b/>
          <w:bCs/>
          <w:i/>
          <w:iCs/>
          <w:sz w:val="20"/>
          <w:rtl w:val="0"/>
        </w:rPr>
        <w:t> </w:t>
      </w:r>
    </w:p>
    <w:tbl>
      <w:tblPr>
        <w:jc w:val="left"/>
        <w:tblCellMar>
          <w:top w:w="0" w:type="dxa"/>
          <w:left w:w="0" w:type="dxa"/>
          <w:bottom w:w="0" w:type="dxa"/>
          <w:right w:w="0" w:type="dxa"/>
        </w:tblCellMar>
      </w:tblPr>
      <w:tblGrid>
        <w:gridCol w:w="3426"/>
        <w:gridCol w:w="5214"/>
      </w:tblGrid>
      <w:tr>
        <w:tblPrEx>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before="120" w:beforeAutospacing="0" w:after="0" w:afterAutospacing="0"/>
            </w:pPr>
            <w:r>
              <w:rPr>
                <w:b/>
                <w:bCs/>
                <w:i/>
                <w:iCs/>
                <w:sz w:val="20"/>
                <w:rtl w:val="0"/>
              </w:rPr>
              <w:br/>
            </w:r>
            <w:r>
              <w:rPr>
                <w:b/>
                <w:bCs/>
                <w:i/>
                <w:iCs/>
                <w:sz w:val="20"/>
                <w:rtl w:val="0"/>
              </w:rPr>
              <w:t>Nơi nhận:</w:t>
            </w:r>
            <w:r>
              <w:rPr>
                <w:b/>
                <w:bCs/>
                <w:i/>
                <w:iCs/>
                <w:sz w:val="20"/>
                <w:rtl w:val="0"/>
              </w:rPr>
              <w:br/>
            </w:r>
            <w:r>
              <w:rPr>
                <w:sz w:val="16"/>
                <w:rtl w:val="0"/>
              </w:rPr>
              <w:t>- Như trên;</w:t>
            </w:r>
            <w:r>
              <w:rPr>
                <w:sz w:val="16"/>
                <w:rtl w:val="0"/>
              </w:rPr>
              <w:br/>
            </w:r>
            <w:r>
              <w:rPr>
                <w:sz w:val="16"/>
                <w:rtl w:val="0"/>
              </w:rPr>
              <w:t>- PCT Âu Anh Tuấn</w:t>
            </w:r>
            <w:r>
              <w:rPr>
                <w:sz w:val="16"/>
                <w:rtl w:val="0"/>
              </w:rPr>
              <w:br/>
            </w:r>
            <w:r>
              <w:rPr>
                <w:sz w:val="16"/>
                <w:rtl w:val="0"/>
              </w:rPr>
              <w:t>- Lưu: VT, GSQL (3b)</w:t>
            </w:r>
          </w:p>
        </w:tc>
        <w:tc>
          <w:tcPr>
            <w:tcW w:w="5388" w:type="dxa"/>
            <w:shd w:val="clear" w:color="auto" w:fill="auto"/>
            <w:tcMar>
              <w:top w:w="0" w:type="dxa"/>
              <w:left w:w="108" w:type="dxa"/>
              <w:bottom w:w="0" w:type="dxa"/>
              <w:right w:w="108" w:type="dxa"/>
            </w:tcMar>
          </w:tcPr>
          <w:p>
            <w:pPr>
              <w:bidi w:val="0"/>
              <w:spacing w:before="120" w:beforeAutospacing="0" w:after="0" w:afterAutospacing="0"/>
              <w:jc w:val="center"/>
            </w:pPr>
            <w:r>
              <w:rPr>
                <w:b/>
                <w:bCs/>
                <w:sz w:val="20"/>
                <w:rtl w:val="0"/>
              </w:rPr>
              <w:t>TL. CỤC TRƯỞNG</w:t>
            </w:r>
            <w:r>
              <w:rPr>
                <w:sz w:val="20"/>
                <w:rtl w:val="0"/>
              </w:rPr>
              <w:br/>
            </w:r>
            <w:r>
              <w:rPr>
                <w:b/>
                <w:bCs/>
                <w:sz w:val="20"/>
                <w:rtl w:val="0"/>
              </w:rPr>
              <w:t xml:space="preserve">KT. TRƯỞNG BAN GIÁM SÁT QUẢN LÝ VỀ HQ </w:t>
            </w:r>
            <w:r>
              <w:rPr>
                <w:b/>
                <w:bCs/>
                <w:sz w:val="20"/>
                <w:rtl w:val="0"/>
              </w:rPr>
              <w:br/>
            </w:r>
            <w:r>
              <w:rPr>
                <w:b/>
                <w:bCs/>
                <w:sz w:val="20"/>
                <w:rtl w:val="0"/>
              </w:rPr>
              <w:t>PHÓ TRƯỞNG BAN</w:t>
            </w:r>
            <w:r>
              <w:rPr>
                <w:b/>
                <w:bCs/>
                <w:sz w:val="20"/>
                <w:rtl w:val="0"/>
              </w:rPr>
              <w:br/>
            </w:r>
            <w:r>
              <w:rPr>
                <w:b/>
                <w:bCs/>
                <w:sz w:val="20"/>
                <w:rtl w:val="0"/>
              </w:rPr>
              <w:br/>
            </w:r>
            <w:r>
              <w:rPr>
                <w:b/>
                <w:bCs/>
                <w:sz w:val="20"/>
                <w:rtl w:val="0"/>
              </w:rPr>
              <w:br/>
            </w:r>
            <w:r>
              <w:rPr>
                <w:b/>
                <w:bCs/>
                <w:sz w:val="20"/>
                <w:rtl w:val="0"/>
              </w:rPr>
              <w:br/>
            </w:r>
            <w:r>
              <w:rPr>
                <w:sz w:val="20"/>
                <w:rtl w:val="0"/>
              </w:rPr>
              <w:br/>
            </w:r>
            <w:r>
              <w:rPr>
                <w:b/>
                <w:bCs/>
                <w:sz w:val="20"/>
                <w:rtl w:val="0"/>
              </w:rPr>
              <w:t>Nguyễn Bắc Hải</w:t>
            </w:r>
          </w:p>
        </w:tc>
      </w:tr>
    </w:tbl>
    <w:p>
      <w:pPr>
        <w:bidi w:val="0"/>
        <w:spacing w:before="120" w:beforeAutospacing="0" w:after="280" w:afterAutospacing="1"/>
      </w:pPr>
      <w:r>
        <w:rPr>
          <w:sz w:val="2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