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9294" w:type="dxa"/>
        <w:tblLayout w:type="fixed"/>
        <w:tblLook w:val="0400" w:firstRow="0" w:lastRow="0" w:firstColumn="0" w:lastColumn="0" w:noHBand="0" w:noVBand="1"/>
      </w:tblPr>
      <w:tblGrid>
        <w:gridCol w:w="3514"/>
        <w:gridCol w:w="5780"/>
      </w:tblGrid>
      <w:tr w:rsidR="00FC28AB">
        <w:tc>
          <w:tcPr>
            <w:tcW w:w="3514" w:type="dxa"/>
            <w:shd w:val="clear" w:color="auto" w:fill="auto"/>
            <w:tcMar>
              <w:top w:w="0" w:type="dxa"/>
              <w:left w:w="108" w:type="dxa"/>
              <w:bottom w:w="0" w:type="dxa"/>
              <w:right w:w="108" w:type="dxa"/>
            </w:tcMar>
          </w:tcPr>
          <w:p w:rsidR="00FC28AB" w:rsidRDefault="00C665B9">
            <w:pPr>
              <w:pBdr>
                <w:top w:val="nil"/>
                <w:left w:val="nil"/>
                <w:bottom w:val="nil"/>
                <w:right w:val="nil"/>
                <w:between w:val="nil"/>
              </w:pBdr>
              <w:spacing w:after="80" w:line="223" w:lineRule="auto"/>
              <w:jc w:val="center"/>
              <w:rPr>
                <w:rFonts w:ascii="Arial" w:eastAsia="Arial" w:hAnsi="Arial" w:cs="Arial"/>
                <w:sz w:val="20"/>
                <w:szCs w:val="20"/>
              </w:rPr>
            </w:pPr>
            <w:r>
              <w:rPr>
                <w:rFonts w:ascii="Arial" w:eastAsia="Arial" w:hAnsi="Arial" w:cs="Arial"/>
                <w:sz w:val="20"/>
                <w:szCs w:val="20"/>
              </w:rPr>
              <w:t>CỤC THUẾ</w:t>
            </w:r>
          </w:p>
          <w:p w:rsidR="00FC28AB" w:rsidRDefault="00C665B9">
            <w:pPr>
              <w:pBdr>
                <w:top w:val="nil"/>
                <w:left w:val="nil"/>
                <w:bottom w:val="nil"/>
                <w:right w:val="nil"/>
                <w:between w:val="nil"/>
              </w:pBdr>
              <w:spacing w:after="120"/>
              <w:jc w:val="center"/>
              <w:rPr>
                <w:rFonts w:ascii="Arial" w:eastAsia="Arial" w:hAnsi="Arial" w:cs="Arial"/>
                <w:b/>
                <w:bCs/>
                <w:sz w:val="20"/>
                <w:szCs w:val="20"/>
              </w:rPr>
            </w:pPr>
            <w:r>
              <w:rPr>
                <w:rFonts w:ascii="Arial" w:eastAsia="Arial" w:hAnsi="Arial" w:cs="Arial"/>
                <w:b/>
                <w:bCs/>
                <w:sz w:val="20"/>
                <w:szCs w:val="20"/>
              </w:rPr>
              <w:t>THUẾ TỈNH HƯNG YÊN</w:t>
            </w:r>
          </w:p>
          <w:p w:rsidR="00FC28AB" w:rsidRDefault="00C665B9">
            <w:pPr>
              <w:pBdr>
                <w:top w:val="nil"/>
                <w:left w:val="nil"/>
                <w:bottom w:val="nil"/>
                <w:right w:val="nil"/>
                <w:between w:val="nil"/>
              </w:pBdr>
              <w:spacing w:after="120"/>
              <w:jc w:val="center"/>
              <w:rPr>
                <w:rFonts w:ascii="Arial" w:eastAsia="Arial" w:hAnsi="Arial" w:cs="Arial"/>
                <w:sz w:val="20"/>
                <w:szCs w:val="20"/>
                <w:vertAlign w:val="superscript"/>
              </w:rPr>
            </w:pPr>
            <w:r>
              <w:rPr>
                <w:rFonts w:ascii="Arial" w:eastAsia="Arial" w:hAnsi="Arial" w:cs="Arial"/>
                <w:sz w:val="20"/>
                <w:szCs w:val="20"/>
                <w:vertAlign w:val="superscript"/>
              </w:rPr>
              <w:t xml:space="preserve"> __________</w:t>
            </w:r>
          </w:p>
          <w:p w:rsidR="00FC28AB" w:rsidRDefault="00C665B9">
            <w:pPr>
              <w:pBdr>
                <w:top w:val="nil"/>
                <w:left w:val="nil"/>
                <w:bottom w:val="nil"/>
                <w:right w:val="nil"/>
                <w:between w:val="nil"/>
              </w:pBdr>
              <w:spacing w:after="120"/>
              <w:jc w:val="center"/>
              <w:rPr>
                <w:rFonts w:ascii="Arial" w:eastAsia="Arial" w:hAnsi="Arial" w:cs="Arial"/>
                <w:sz w:val="20"/>
                <w:szCs w:val="20"/>
              </w:rPr>
            </w:pPr>
            <w:r>
              <w:rPr>
                <w:rFonts w:ascii="Arial" w:eastAsia="Arial" w:hAnsi="Arial" w:cs="Arial"/>
                <w:sz w:val="20"/>
                <w:szCs w:val="20"/>
              </w:rPr>
              <w:t>Số: 5070 /HYE-QLDN1</w:t>
            </w:r>
          </w:p>
          <w:p w:rsidR="00FC28AB" w:rsidRDefault="00C665B9">
            <w:pPr>
              <w:pBdr>
                <w:top w:val="nil"/>
                <w:left w:val="nil"/>
                <w:bottom w:val="nil"/>
                <w:right w:val="nil"/>
                <w:between w:val="nil"/>
              </w:pBdr>
              <w:spacing w:after="120"/>
              <w:jc w:val="center"/>
              <w:rPr>
                <w:rFonts w:ascii="Arial" w:eastAsia="Arial" w:hAnsi="Arial" w:cs="Arial"/>
                <w:sz w:val="20"/>
                <w:szCs w:val="20"/>
              </w:rPr>
            </w:pPr>
            <w:r>
              <w:rPr>
                <w:rFonts w:ascii="Arial" w:eastAsia="Arial" w:hAnsi="Arial" w:cs="Arial"/>
                <w:sz w:val="20"/>
                <w:szCs w:val="20"/>
              </w:rPr>
              <w:t>V/v chính sách thuế TNCN</w:t>
            </w:r>
          </w:p>
        </w:tc>
        <w:tc>
          <w:tcPr>
            <w:tcW w:w="5780" w:type="dxa"/>
            <w:shd w:val="clear" w:color="auto" w:fill="auto"/>
            <w:tcMar>
              <w:top w:w="0" w:type="dxa"/>
              <w:left w:w="108" w:type="dxa"/>
              <w:bottom w:w="0" w:type="dxa"/>
              <w:right w:w="108" w:type="dxa"/>
            </w:tcMar>
          </w:tcPr>
          <w:p w:rsidR="00FC28AB" w:rsidRDefault="00C665B9">
            <w:pPr>
              <w:spacing w:after="120"/>
              <w:jc w:val="center"/>
              <w:rPr>
                <w:rFonts w:ascii="Arial" w:eastAsia="Arial" w:hAnsi="Arial" w:cs="Arial"/>
                <w:sz w:val="20"/>
                <w:szCs w:val="20"/>
              </w:rPr>
            </w:pPr>
            <w:r>
              <w:rPr>
                <w:rFonts w:ascii="Arial" w:eastAsia="Arial" w:hAnsi="Arial" w:cs="Arial"/>
                <w:b/>
                <w:bCs/>
                <w:sz w:val="20"/>
                <w:szCs w:val="20"/>
              </w:rPr>
              <w:t>CỘNG HÒA XÃ HỘI CHỦ NGHĨA VIỆT NAM</w:t>
            </w:r>
            <w:r>
              <w:rPr>
                <w:rFonts w:ascii="Arial" w:eastAsia="Arial" w:hAnsi="Arial" w:cs="Arial"/>
                <w:b/>
                <w:bCs/>
                <w:sz w:val="20"/>
                <w:szCs w:val="20"/>
              </w:rPr>
              <w:br/>
              <w:t xml:space="preserve">Độc lập - Tự do - Hạnh phúc </w:t>
            </w:r>
            <w:r>
              <w:rPr>
                <w:rFonts w:ascii="Arial" w:eastAsia="Arial" w:hAnsi="Arial" w:cs="Arial"/>
                <w:b/>
                <w:bCs/>
                <w:sz w:val="20"/>
                <w:szCs w:val="20"/>
              </w:rPr>
              <w:br/>
            </w:r>
            <w:r>
              <w:rPr>
                <w:rFonts w:ascii="Arial" w:eastAsia="Arial" w:hAnsi="Arial" w:cs="Arial"/>
                <w:sz w:val="20"/>
                <w:szCs w:val="20"/>
                <w:vertAlign w:val="superscript"/>
              </w:rPr>
              <w:t>_______________________</w:t>
            </w:r>
            <w:r>
              <w:rPr>
                <w:rFonts w:ascii="Arial" w:eastAsia="Arial" w:hAnsi="Arial" w:cs="Arial"/>
                <w:b/>
                <w:bCs/>
                <w:sz w:val="20"/>
                <w:szCs w:val="20"/>
              </w:rPr>
              <w:br/>
            </w:r>
            <w:r>
              <w:rPr>
                <w:rFonts w:ascii="Arial" w:eastAsia="Arial" w:hAnsi="Arial" w:cs="Arial"/>
                <w:i/>
                <w:iCs/>
                <w:sz w:val="20"/>
                <w:szCs w:val="20"/>
              </w:rPr>
              <w:t>Hưng Yên, ngày 03 tháng 12 năm 2025</w:t>
            </w:r>
          </w:p>
        </w:tc>
      </w:tr>
    </w:tbl>
    <w:p w:rsidR="00FC28AB" w:rsidRDefault="00FC28AB">
      <w:pPr>
        <w:pBdr>
          <w:top w:val="nil"/>
          <w:left w:val="nil"/>
          <w:bottom w:val="nil"/>
          <w:right w:val="nil"/>
          <w:between w:val="nil"/>
        </w:pBdr>
        <w:spacing w:after="120"/>
        <w:ind w:firstLine="720"/>
        <w:jc w:val="both"/>
        <w:rPr>
          <w:rFonts w:ascii="Arial" w:eastAsia="Arial" w:hAnsi="Arial" w:cs="Arial"/>
          <w:sz w:val="20"/>
          <w:szCs w:val="20"/>
        </w:rPr>
      </w:pPr>
    </w:p>
    <w:tbl>
      <w:tblPr>
        <w:tblStyle w:val="a0"/>
        <w:tblW w:w="9010" w:type="dxa"/>
        <w:tblBorders>
          <w:top w:val="nil"/>
          <w:left w:val="nil"/>
          <w:bottom w:val="nil"/>
          <w:right w:val="nil"/>
          <w:insideH w:val="nil"/>
          <w:insideV w:val="nil"/>
        </w:tblBorders>
        <w:tblLayout w:type="fixed"/>
        <w:tblLook w:val="0400" w:firstRow="0" w:lastRow="0" w:firstColumn="0" w:lastColumn="0" w:noHBand="0" w:noVBand="1"/>
      </w:tblPr>
      <w:tblGrid>
        <w:gridCol w:w="2972"/>
        <w:gridCol w:w="6038"/>
      </w:tblGrid>
      <w:tr w:rsidR="00FC28AB">
        <w:tc>
          <w:tcPr>
            <w:tcW w:w="2972" w:type="dxa"/>
          </w:tcPr>
          <w:p w:rsidR="00FC28AB" w:rsidRDefault="00C665B9">
            <w:pPr>
              <w:pBdr>
                <w:top w:val="nil"/>
                <w:left w:val="nil"/>
                <w:bottom w:val="nil"/>
                <w:right w:val="nil"/>
                <w:between w:val="nil"/>
              </w:pBdr>
              <w:spacing w:after="120"/>
              <w:jc w:val="right"/>
              <w:rPr>
                <w:rFonts w:ascii="Arial" w:eastAsia="Arial" w:hAnsi="Arial" w:cs="Arial"/>
                <w:sz w:val="20"/>
                <w:szCs w:val="20"/>
              </w:rPr>
            </w:pPr>
            <w:r>
              <w:rPr>
                <w:rFonts w:ascii="Arial" w:eastAsia="Arial" w:hAnsi="Arial" w:cs="Arial"/>
                <w:sz w:val="20"/>
                <w:szCs w:val="20"/>
              </w:rPr>
              <w:t>Kính gửi:</w:t>
            </w:r>
          </w:p>
        </w:tc>
        <w:tc>
          <w:tcPr>
            <w:tcW w:w="6038" w:type="dxa"/>
          </w:tcPr>
          <w:p w:rsidR="00FC28AB" w:rsidRDefault="00C665B9">
            <w:pPr>
              <w:pBdr>
                <w:top w:val="nil"/>
                <w:left w:val="nil"/>
                <w:bottom w:val="nil"/>
                <w:right w:val="nil"/>
                <w:between w:val="nil"/>
              </w:pBdr>
              <w:spacing w:after="120"/>
              <w:jc w:val="both"/>
              <w:rPr>
                <w:rFonts w:ascii="Arial" w:eastAsia="Arial" w:hAnsi="Arial" w:cs="Arial"/>
                <w:color w:val="000000"/>
                <w:sz w:val="20"/>
                <w:szCs w:val="20"/>
              </w:rPr>
            </w:pPr>
            <w:r>
              <w:rPr>
                <w:rFonts w:ascii="Arial" w:eastAsia="Arial" w:hAnsi="Arial" w:cs="Arial"/>
                <w:color w:val="000000"/>
                <w:sz w:val="20"/>
                <w:szCs w:val="20"/>
              </w:rPr>
              <w:t>Công ty Cổ Phần Bất Động Sản VHS</w:t>
            </w:r>
          </w:p>
          <w:p w:rsidR="00FC28AB" w:rsidRDefault="00C665B9">
            <w:pPr>
              <w:pBdr>
                <w:top w:val="nil"/>
                <w:left w:val="nil"/>
                <w:bottom w:val="nil"/>
                <w:right w:val="nil"/>
                <w:between w:val="nil"/>
              </w:pBdr>
              <w:spacing w:after="120"/>
              <w:jc w:val="both"/>
              <w:rPr>
                <w:rFonts w:ascii="Arial" w:eastAsia="Arial" w:hAnsi="Arial" w:cs="Arial"/>
                <w:color w:val="000000"/>
                <w:sz w:val="20"/>
                <w:szCs w:val="20"/>
              </w:rPr>
            </w:pPr>
            <w:r>
              <w:rPr>
                <w:rFonts w:ascii="Arial" w:eastAsia="Arial" w:hAnsi="Arial" w:cs="Arial"/>
                <w:color w:val="000000"/>
                <w:sz w:val="20"/>
                <w:szCs w:val="20"/>
              </w:rPr>
              <w:t>Địa chỉ: ĐLBM-01, Vinhomes Ocean Park 3, Xã Nghĩa Trụ, tỉnh Hưng Yên</w:t>
            </w:r>
          </w:p>
          <w:p w:rsidR="00FC28AB" w:rsidRDefault="00C665B9">
            <w:pPr>
              <w:pBdr>
                <w:top w:val="nil"/>
                <w:left w:val="nil"/>
                <w:bottom w:val="nil"/>
                <w:right w:val="nil"/>
                <w:between w:val="nil"/>
              </w:pBdr>
              <w:spacing w:after="120"/>
              <w:jc w:val="both"/>
              <w:rPr>
                <w:rFonts w:ascii="Arial" w:eastAsia="Arial" w:hAnsi="Arial" w:cs="Arial"/>
                <w:sz w:val="20"/>
                <w:szCs w:val="20"/>
              </w:rPr>
            </w:pPr>
            <w:r>
              <w:rPr>
                <w:rFonts w:ascii="Arial" w:eastAsia="Arial" w:hAnsi="Arial" w:cs="Arial"/>
                <w:sz w:val="20"/>
                <w:szCs w:val="20"/>
              </w:rPr>
              <w:t>MST: 0107447633</w:t>
            </w:r>
          </w:p>
        </w:tc>
      </w:tr>
    </w:tbl>
    <w:p w:rsidR="00FC28AB" w:rsidRDefault="00FC28AB">
      <w:pPr>
        <w:pBdr>
          <w:top w:val="nil"/>
          <w:left w:val="nil"/>
          <w:bottom w:val="nil"/>
          <w:right w:val="nil"/>
          <w:between w:val="nil"/>
        </w:pBdr>
        <w:spacing w:after="120"/>
        <w:ind w:left="140" w:firstLine="720"/>
        <w:jc w:val="both"/>
        <w:rPr>
          <w:rFonts w:ascii="Arial" w:eastAsia="Arial" w:hAnsi="Arial" w:cs="Arial"/>
          <w:color w:val="000000"/>
          <w:sz w:val="20"/>
          <w:szCs w:val="20"/>
        </w:rPr>
      </w:pP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color w:val="000000"/>
          <w:sz w:val="20"/>
          <w:szCs w:val="20"/>
        </w:rPr>
        <w:t>Trả lời Công văn số 0311/2025/VHS ngày 03/11/2025 (CVĐ số 9026 ngày 04/11/2025) của Công ty Cổ Phần Bất Động Sản VHS (sau đây gọi tắt là “Công ty”) gửi Thuế tỉnh Hưng Yên về việc đề nghị hướng dẫn chính sách thuế TNCN, Thuế tỉnh Hưng Yên có ý kiến như sau:</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color w:val="000000"/>
          <w:sz w:val="20"/>
          <w:szCs w:val="20"/>
        </w:rPr>
        <w:t>Căn cứ Thông tư 111/2013/TT-BTC ngày 15/08/2013 Hướng dẫn thực hiện luật thuế thu nhập cá nhân, luật sửa đổi, bổ sung một số điều của luật thuế thu nhập cá nhân và nghị định số 65/2013/NĐ-CP của chính phủ quy định chi tiết một số điều của luật thuế thu nhập cá nhân và luật sửa đổi, bổ sung một số điều của luật thuế thu nhập cá nhân.</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t>+ Tại Điều 2 hướng dẫn về các khoản thu nhập chịu thuế:</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“2. Thu nhập từ tiền lương, tiền công</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i/>
          <w:iCs/>
          <w:color w:val="000000"/>
          <w:sz w:val="20"/>
          <w:szCs w:val="20"/>
        </w:rPr>
        <w:t>Thu nhập từ tiền lương, tiền công là thu nhập người lao động nhận được từ người sử dụng lao động, bao gồm:</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i/>
          <w:iCs/>
          <w:color w:val="000000"/>
          <w:sz w:val="20"/>
          <w:szCs w:val="20"/>
        </w:rPr>
        <w:t>a) Tiền lương, tiền công và các khoản có tính chất tiền lương, tiền công dưới các hình thức bằng tiền hoặc không bằng tiền.</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i/>
          <w:iCs/>
          <w:color w:val="000000"/>
          <w:sz w:val="20"/>
          <w:szCs w:val="20"/>
        </w:rPr>
        <w:t>…</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i/>
          <w:iCs/>
          <w:color w:val="000000"/>
          <w:sz w:val="20"/>
          <w:szCs w:val="20"/>
        </w:rPr>
        <w:t>đ) Các khoản lợi ích bằng tiền hoặc không bằng tiền ngoài tiền lương, tiền công do người sử dụng lao động trả mà người nộp thuế được hưởng dưới mọi hình thức:</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i/>
          <w:iCs/>
          <w:color w:val="000000"/>
          <w:sz w:val="20"/>
          <w:szCs w:val="20"/>
        </w:rPr>
        <w:t>…</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i/>
          <w:iCs/>
          <w:color w:val="000000"/>
          <w:sz w:val="20"/>
          <w:szCs w:val="20"/>
        </w:rPr>
        <w:t>đ.3.2) Khoản chi dịch vụ khác phục vụ cho cá nhân trong hoạt động chăm sóc sức khoẻ, vui chơi, giải trí thẩm mỹ... nếu nội dung chi trả ghi rõ tên cá nhân được hưởng. Trường hợp nội dung chi trả phí dịch vụ không ghi tên cá nhân được hưởng mà chi chung cho tập thể người lao động thì không tính vào thu nhập chịu thuế.</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i/>
          <w:iCs/>
          <w:color w:val="000000"/>
          <w:sz w:val="20"/>
          <w:szCs w:val="20"/>
        </w:rPr>
        <w:t>…</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đ.7) Các khoản lợi ích khác.</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i/>
          <w:iCs/>
          <w:color w:val="000000"/>
          <w:sz w:val="20"/>
          <w:szCs w:val="20"/>
        </w:rPr>
        <w:t>Các khoản lợi ích khác mà người sử dụng lao động chi cho người lao động như: chi trong các ngày nghỉ, lễ;...</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i/>
          <w:iCs/>
          <w:color w:val="000000"/>
          <w:sz w:val="20"/>
          <w:szCs w:val="20"/>
        </w:rPr>
        <w:t xml:space="preserve">...e) </w:t>
      </w:r>
      <w:r>
        <w:rPr>
          <w:rFonts w:ascii="Arial" w:eastAsia="Arial" w:hAnsi="Arial" w:cs="Arial"/>
          <w:i/>
          <w:iCs/>
          <w:color w:val="000000"/>
          <w:sz w:val="20"/>
          <w:szCs w:val="20"/>
          <w:u w:val="single"/>
        </w:rPr>
        <w:t>Các khoản thưởng bằng tiền hoặc không bằng tiền dưới mọi hình thức, kể cả thưởng bằng chứng khoán, trừ các khoản tiền thưởng sau đây</w:t>
      </w:r>
      <w:r>
        <w:rPr>
          <w:rFonts w:ascii="Arial" w:eastAsia="Arial" w:hAnsi="Arial" w:cs="Arial"/>
          <w:i/>
          <w:iCs/>
          <w:color w:val="000000"/>
          <w:sz w:val="20"/>
          <w:szCs w:val="20"/>
        </w:rPr>
        <w:t>:</w:t>
      </w:r>
    </w:p>
    <w:p w:rsidR="00FC28AB" w:rsidRDefault="00C665B9">
      <w:pPr>
        <w:pBdr>
          <w:top w:val="nil"/>
          <w:left w:val="nil"/>
          <w:bottom w:val="nil"/>
          <w:right w:val="nil"/>
          <w:between w:val="nil"/>
        </w:pBdr>
        <w:spacing w:after="120"/>
        <w:ind w:left="140" w:firstLine="720"/>
        <w:jc w:val="both"/>
        <w:rPr>
          <w:rFonts w:ascii="Arial" w:eastAsia="Arial" w:hAnsi="Arial" w:cs="Arial"/>
          <w:i/>
          <w:iCs/>
          <w:color w:val="000000"/>
          <w:sz w:val="20"/>
          <w:szCs w:val="20"/>
        </w:rPr>
      </w:pPr>
      <w:r>
        <w:rPr>
          <w:rFonts w:ascii="Arial" w:eastAsia="Arial" w:hAnsi="Arial" w:cs="Arial"/>
          <w:i/>
          <w:iCs/>
          <w:color w:val="000000"/>
          <w:sz w:val="20"/>
          <w:szCs w:val="20"/>
        </w:rPr>
        <w:t>…</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...10. Thu nhập từ nhận quà tặng</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Thu nhập từ nhận quà tặng là khoản thu nhập của cá nhân nhận được từ các tổ chức, cá nhân trong và ngoài nước, cụ thể như sau:</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d) Đối với nhận quà tặng là các tài sản khác phải đăng ký quyền sở hữu hoặc quyền sử dụng với cơ quan quản lý Nhà nước như: ô tô; xe gắn máy, xe mô tô; tàu thủy, kể cả sà lan, ca nô, tàu kéo, tàu đẩy; thuyền, kể cả du thuyền; tàu bay; súng săn, súng thể thao.”</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lastRenderedPageBreak/>
        <w:t>+ Tại Điều 16 hướng dẫn về căn cứ tính thuế đối với thu nhập từ thừa kế, quà tặng (đã được sửa đổi bổ sung tại khoản 2, Điều 19, Thông tư 92/2015/TT- BTC):</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“Điều 16: Căn cứ tính thuế đối với thu nhập từ thừa kế, quà tặng</w:t>
      </w:r>
      <w:bookmarkStart w:id="0" w:name="bookmark=id.aa3y1s3qlaqn" w:colFirst="0" w:colLast="0"/>
      <w:bookmarkEnd w:id="0"/>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1. Thu nhập tính thuế</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Thu nhập tính thuế từ nhận thừa kế, quà tặng là phần giá trị tài sản nhận thừa kế, quà tặng vượt trên 10 triệu đồng mỗi lần nhận. Giá trị tài sản nhận thừa kế, quà tặng được xác định đối với từng trường hợp, cụ thể như sau:</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d) Đối với thừa kế, quà tặng là các tài sản khác phải đăng ký quyền sở hữu hoặc quyền sử dụng với cơ quan quản lý Nhà nước: giá trị tài sản được xác định trên cơ sở bảng giá tính lệ phí trước bạ do Uỷ ban nhân dân cấp tỉnh quy định tại thời điểm cá nhân làm thủ tục đăng ký quyền sở hữu, quyền sử dụng tài sản thừa kế, quà tặng....</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w:t>
      </w:r>
      <w:bookmarkStart w:id="1" w:name="bookmark=id.5u7gc9ge6qrh" w:colFirst="0" w:colLast="0"/>
      <w:bookmarkEnd w:id="1"/>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2. Thuế suất: Thuế suất thuế thu nhập cá nhân đối với thừa kế, quà tặng được áp dụng theo Biểu thuế toàn phần với thuế suất là 10%.</w:t>
      </w:r>
      <w:bookmarkStart w:id="2" w:name="bookmark=id.jey3rbm006a7" w:colFirst="0" w:colLast="0"/>
      <w:bookmarkEnd w:id="2"/>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3. Thời điểm xác định thu nhập tính thuế</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Thời điểm xác định thu nhập tính thuế từ thừa kế, quà tặng là thời điểm cá nhân làm thủ tục đăng ký quyền sở hữu, quyền sử dụng tài sản thừa kế, quà tặng.</w:t>
      </w:r>
      <w:bookmarkStart w:id="3" w:name="bookmark=id.lrjtimoog0ty" w:colFirst="0" w:colLast="0"/>
      <w:bookmarkEnd w:id="3"/>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4. Cách tính số thuế phải nộp:</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Thuế thu nhập cá nhân phải nộp = Thu nhập tính thuế x Thuế suất 10%</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t>+ Tại khoản 1 Điều 25 quy định về khấu trừ thuế TNCN:</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t xml:space="preserve">“ </w:t>
      </w:r>
      <w:r>
        <w:rPr>
          <w:rFonts w:ascii="Arial" w:eastAsia="Arial" w:hAnsi="Arial" w:cs="Arial"/>
          <w:i/>
          <w:iCs/>
          <w:color w:val="000000"/>
          <w:sz w:val="20"/>
          <w:szCs w:val="20"/>
        </w:rPr>
        <w:t>Điều 25. Khấu trừ thuế và chứng từ khấu trừ thuế:</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1. Khấu trừ thuế</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Khấu trừ thuế là việc tổ chức, cá nhân trả thu nhập thực hiện tính trừ số thuế phải nộp vào thu nhập của người nộp thuế trước khi trả thu nhập, cụ thể như sau:</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b) Thu nhập từ tiền lương, tiền công</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b.1) Đối với cá nhân cư trú ký hợp đồng lao động từ ba (03) tháng trở lên thì tổ chức, cá nhân trả thu nhập thực hiện khấu trừ thuế theo Biểu thuế luỹ tiến từng phần, kể cả trường hợp cá nhân ký hợp đồng từ ba (03) tháng trở lên tại nhiều nơi.</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i) Khấu trừ thuế đối với một số trường hợp khác</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i/>
          <w:iCs/>
          <w:color w:val="000000"/>
          <w:sz w:val="20"/>
          <w:szCs w:val="20"/>
        </w:rPr>
        <w:t>Các tổ chức, cá nhân trả tiền công, tiền thù lao, tiền chi khác cho cá nhân cư trú không ký hợp đồng lao động (theo hướng dẫn tại điểm c, d, khoản 2, Điều 2 Thông tư này) hoặc ký hợp đồng lao động dưới ba (03) tháng có tổng mức trả thu nhập từ hai triệu (2.000.000) đồng/lần trở lên thì phải khấu trừ thuế theo mức 10% trên thu nhập trước khi trả cho cá nhân... ”</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t>Tại khoản 1, Điều 4 Nghị định 123/2020/NĐ-CP (được sửa đổi bởi điểm a khoản 3 Điều 1 Nghị định 70/2025/NĐ-CP ngày 20/03/2025) quy định về nguyên tắc lập, quản lý, sử dụng hóa đơn, chứng từ như sau:</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t xml:space="preserve">“ </w:t>
      </w:r>
      <w:r>
        <w:rPr>
          <w:rFonts w:ascii="Arial" w:eastAsia="Arial" w:hAnsi="Arial" w:cs="Arial"/>
          <w:i/>
          <w:iCs/>
          <w:color w:val="000000"/>
          <w:sz w:val="20"/>
          <w:szCs w:val="20"/>
        </w:rPr>
        <w:t xml:space="preserve">1. Khi bán hàng hóa, cung cấp dịch vụ, người bán phải lập hóa đơn để giao cho người mua (bao gồm cả các trường hợp hàng hóa, dịch vụ dùng để khuyến mại, quảng cáo, hàng mẫu; </w:t>
      </w:r>
      <w:r>
        <w:rPr>
          <w:rFonts w:ascii="Arial" w:eastAsia="Arial" w:hAnsi="Arial" w:cs="Arial"/>
          <w:b/>
          <w:bCs/>
          <w:i/>
          <w:iCs/>
          <w:color w:val="000000"/>
          <w:sz w:val="20"/>
          <w:szCs w:val="20"/>
        </w:rPr>
        <w:t>hàng hóa, dịch vụ dùng để cho, biếu, tặng</w:t>
      </w:r>
      <w:r>
        <w:rPr>
          <w:rFonts w:ascii="Arial" w:eastAsia="Arial" w:hAnsi="Arial" w:cs="Arial"/>
          <w:i/>
          <w:iCs/>
          <w:color w:val="000000"/>
          <w:sz w:val="20"/>
          <w:szCs w:val="20"/>
        </w:rPr>
        <w:t>, trao đổi, trả thay lương cho người lao động và tiêu dùng nội bộ (trừ hàng hóa luân chuyển nội bộ để tiếp tục quá trình sản xuất); xuất hàng hóa dưới các hình thức cho vay, cho mượn hoặc hoàn trả hàng hóa) và các trường hợp lập hóa đơn theo quy định tại Điều 19 Nghị định này. Hóa đơn phải ghi đầy đủ nội dung theo quy định tại Điều 10 Nghị định này. Trường hợp sử dụng hóa đơn điện tử thì phải theo định dạng chuẩn dữ liệu của cơ quan thuế theo quy định tại Điều 12 Nghị định này...”</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t>Căn cứ quy định nêu trên, Thuế tỉnh Hưng Yên có ý kiến như sau:</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lastRenderedPageBreak/>
        <w:t>Trường hợp người lao động, cộng tác viên nhận được quà tặng bằng hiện vật của Công ty Cổ Phần Bất Động Sản VHS tổ chức thì được xác định là thu nhập từ quà tặng 1 theo hướng dẫn tại khoản 10 Điều 2 Thông tư 111/2013/TT-BTC, căn cứ tính thuế đối với thu nhập từ quà tặng thực hiện theo hướng dẫn tại Điều 16 Thông tư 111/2013/TT-BTC của Bộ Tài chính.</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t>Trường hợp Công ty Cổ Phần Bất Động Sản VHS thực hiện tặng quà bằng hiện vật cho người lao động, cộng tác viên mà quà tặng không thuộc các khoản quy định tại khoản 10 Điều 2 Thông tư số</w:t>
      </w:r>
      <w:r w:rsidR="00165C5A">
        <w:rPr>
          <w:rFonts w:ascii="Arial" w:eastAsia="Arial" w:hAnsi="Arial" w:cs="Arial"/>
          <w:color w:val="000000"/>
          <w:sz w:val="20"/>
          <w:szCs w:val="20"/>
        </w:rPr>
        <w:t xml:space="preserve"> </w:t>
      </w:r>
      <w:bookmarkStart w:id="4" w:name="_GoBack"/>
      <w:bookmarkEnd w:id="4"/>
      <w:r>
        <w:rPr>
          <w:rFonts w:ascii="Arial" w:eastAsia="Arial" w:hAnsi="Arial" w:cs="Arial"/>
          <w:color w:val="000000"/>
          <w:sz w:val="20"/>
          <w:szCs w:val="20"/>
        </w:rPr>
        <w:t>111/2013/TT-BTC ngày 15/8/2013 của Bộ Tài chính nêu trên thì không thuộc đối tượng chịu thuế thu nhập cá nhân từ nhận quà tặng.</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t xml:space="preserve">Trường hợp Công ty tặng quà mang tính chất tiền lương, tiền công quy định tại khoản 2 Điều 2 Thông tư số 111/2013/TT-BTC ngày 15/8/2013 của Bộ Tài chính cho cán bộ nhân viên của công ty (có ký hợp đồng lao động) thì giá trị quà tặng được tính vào thu nhập chịu thuế tiền lương, tiền công của người lao động (trường hợp nội dung chi trả không ghi tên cá nhân được hưởng mà chi chung cho tập thể người lao động thì khoản thu </w:t>
      </w:r>
      <w:r>
        <w:rPr>
          <w:rFonts w:ascii="Arial" w:eastAsia="Arial" w:hAnsi="Arial" w:cs="Arial"/>
          <w:sz w:val="20"/>
          <w:szCs w:val="20"/>
        </w:rPr>
        <w:t>nhập</w:t>
      </w:r>
      <w:r>
        <w:rPr>
          <w:rFonts w:ascii="Arial" w:eastAsia="Arial" w:hAnsi="Arial" w:cs="Arial"/>
          <w:color w:val="000000"/>
          <w:sz w:val="20"/>
          <w:szCs w:val="20"/>
        </w:rPr>
        <w:t xml:space="preserve"> này không tính vào thu nhập chịu thuế theo hướng dẫn tại điểm đ.3.2 khoản 2 Điều 2 Thông tư 111/2013/TT-BTC ngày 15/8/2013). Đối với cá nhân cư trú không ký hợp đồng lao động (theo hướng dẫn tại điểm c, d, khoản 2, Điều 2 Thông tư này) hoặc ký hợp đồng lao động dưới ba (03) tháng thì Công ty thực hiện khấu trừ theo điểm i khoản 1 Điều 25 Thông tư 111/2013/TT-BTC </w:t>
      </w:r>
      <w:r>
        <w:rPr>
          <w:rFonts w:ascii="Arial" w:eastAsia="Arial" w:hAnsi="Arial" w:cs="Arial"/>
          <w:sz w:val="20"/>
          <w:szCs w:val="20"/>
        </w:rPr>
        <w:t>ngày</w:t>
      </w:r>
      <w:r>
        <w:rPr>
          <w:rFonts w:ascii="Arial" w:eastAsia="Arial" w:hAnsi="Arial" w:cs="Arial"/>
          <w:color w:val="000000"/>
          <w:sz w:val="20"/>
          <w:szCs w:val="20"/>
        </w:rPr>
        <w:t xml:space="preserve"> 15/8/2013.</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t>Trường hợp Công ty tặng quà cho nhân viên và cộng tác viên thì thực hiện xuất hóa đơn theo quy định tại điểm a khoản 3 Điều 1 Nghị định 70/2025/NĐ-CP ngày 20/03/2025.</w:t>
      </w:r>
    </w:p>
    <w:p w:rsidR="00FC28AB" w:rsidRDefault="00C665B9">
      <w:pPr>
        <w:pBdr>
          <w:top w:val="nil"/>
          <w:left w:val="nil"/>
          <w:bottom w:val="nil"/>
          <w:right w:val="nil"/>
          <w:between w:val="nil"/>
        </w:pBdr>
        <w:spacing w:after="120"/>
        <w:ind w:firstLine="720"/>
        <w:jc w:val="both"/>
        <w:rPr>
          <w:rFonts w:ascii="Arial" w:eastAsia="Arial" w:hAnsi="Arial" w:cs="Arial"/>
          <w:i/>
          <w:iCs/>
          <w:color w:val="000000"/>
          <w:sz w:val="20"/>
          <w:szCs w:val="20"/>
        </w:rPr>
      </w:pPr>
      <w:r>
        <w:rPr>
          <w:rFonts w:ascii="Arial" w:eastAsia="Arial" w:hAnsi="Arial" w:cs="Arial"/>
          <w:color w:val="000000"/>
          <w:sz w:val="20"/>
          <w:szCs w:val="20"/>
        </w:rPr>
        <w:t>Đề nghị Công ty Cổ Phần Bất Động Sản VHS căn cứ tình hình thực tế, đối chiếu tình hình thực tế phát sinh tại đơn vị với các quy định có liên quan để thực hiện theo đúng quy định của pháp luật.</w:t>
      </w:r>
    </w:p>
    <w:p w:rsidR="00FC28AB" w:rsidRDefault="00C665B9">
      <w:pPr>
        <w:pBdr>
          <w:top w:val="nil"/>
          <w:left w:val="nil"/>
          <w:bottom w:val="nil"/>
          <w:right w:val="nil"/>
          <w:between w:val="nil"/>
        </w:pBdr>
        <w:tabs>
          <w:tab w:val="left" w:pos="1764"/>
        </w:tabs>
        <w:spacing w:after="120"/>
        <w:ind w:firstLine="720"/>
        <w:rPr>
          <w:rFonts w:ascii="Arial" w:eastAsia="Arial" w:hAnsi="Arial" w:cs="Arial"/>
          <w:color w:val="000000"/>
          <w:sz w:val="20"/>
          <w:szCs w:val="20"/>
        </w:rPr>
      </w:pPr>
      <w:r>
        <w:rPr>
          <w:rFonts w:ascii="Arial" w:eastAsia="Arial" w:hAnsi="Arial" w:cs="Arial"/>
          <w:color w:val="000000"/>
          <w:sz w:val="20"/>
          <w:szCs w:val="20"/>
        </w:rPr>
        <w:t>Thuế Hưng Yên trả lời để Công ty Cổ Phần Bất Động Sản VHS biết và thực hiện./.</w:t>
      </w:r>
    </w:p>
    <w:tbl>
      <w:tblPr>
        <w:tblStyle w:val="a1"/>
        <w:tblW w:w="9020" w:type="dxa"/>
        <w:tblLayout w:type="fixed"/>
        <w:tblLook w:val="0400" w:firstRow="0" w:lastRow="0" w:firstColumn="0" w:lastColumn="0" w:noHBand="0" w:noVBand="1"/>
      </w:tblPr>
      <w:tblGrid>
        <w:gridCol w:w="5670"/>
        <w:gridCol w:w="3350"/>
      </w:tblGrid>
      <w:tr w:rsidR="00FC28AB">
        <w:tc>
          <w:tcPr>
            <w:tcW w:w="5670" w:type="dxa"/>
            <w:shd w:val="clear" w:color="auto" w:fill="FFFFFF"/>
            <w:tcMar>
              <w:top w:w="0" w:type="dxa"/>
              <w:left w:w="108" w:type="dxa"/>
              <w:bottom w:w="0" w:type="dxa"/>
              <w:right w:w="108" w:type="dxa"/>
            </w:tcMar>
          </w:tcPr>
          <w:p w:rsidR="00FC28AB" w:rsidRDefault="00C665B9">
            <w:pPr>
              <w:pBdr>
                <w:top w:val="nil"/>
                <w:left w:val="nil"/>
                <w:bottom w:val="nil"/>
                <w:right w:val="nil"/>
                <w:between w:val="nil"/>
              </w:pBdr>
              <w:tabs>
                <w:tab w:val="left" w:pos="739"/>
              </w:tabs>
              <w:rPr>
                <w:rFonts w:ascii="Arial" w:eastAsia="Arial" w:hAnsi="Arial" w:cs="Arial"/>
                <w:b/>
                <w:bCs/>
                <w:i/>
                <w:iCs/>
                <w:sz w:val="20"/>
                <w:szCs w:val="20"/>
              </w:rPr>
            </w:pPr>
            <w:r>
              <w:rPr>
                <w:rFonts w:ascii="Arial" w:eastAsia="Arial" w:hAnsi="Arial" w:cs="Arial"/>
                <w:b/>
                <w:bCs/>
                <w:i/>
                <w:iCs/>
                <w:sz w:val="20"/>
                <w:szCs w:val="20"/>
              </w:rPr>
              <w:t>Nơi nhận:</w:t>
            </w:r>
          </w:p>
          <w:p w:rsidR="00FC28AB" w:rsidRDefault="00C665B9">
            <w:pPr>
              <w:pBdr>
                <w:top w:val="nil"/>
                <w:left w:val="nil"/>
                <w:bottom w:val="nil"/>
                <w:right w:val="nil"/>
                <w:between w:val="nil"/>
              </w:pBdr>
              <w:tabs>
                <w:tab w:val="left" w:pos="258"/>
              </w:tabs>
              <w:rPr>
                <w:rFonts w:ascii="Arial" w:eastAsia="Arial" w:hAnsi="Arial" w:cs="Arial"/>
                <w:color w:val="000000"/>
                <w:sz w:val="20"/>
                <w:szCs w:val="20"/>
              </w:rPr>
            </w:pPr>
            <w:r>
              <w:rPr>
                <w:rFonts w:ascii="Arial" w:eastAsia="Arial" w:hAnsi="Arial" w:cs="Arial"/>
                <w:color w:val="000000"/>
                <w:sz w:val="20"/>
                <w:szCs w:val="20"/>
              </w:rPr>
              <w:t>- Như trên;</w:t>
            </w:r>
            <w:bookmarkStart w:id="5" w:name="bookmark=id.1r8unmm8obba" w:colFirst="0" w:colLast="0"/>
            <w:bookmarkEnd w:id="5"/>
          </w:p>
          <w:p w:rsidR="00FC28AB" w:rsidRDefault="00C665B9">
            <w:pPr>
              <w:pBdr>
                <w:top w:val="nil"/>
                <w:left w:val="nil"/>
                <w:bottom w:val="nil"/>
                <w:right w:val="nil"/>
                <w:between w:val="nil"/>
              </w:pBdr>
              <w:tabs>
                <w:tab w:val="left" w:pos="258"/>
              </w:tabs>
              <w:rPr>
                <w:rFonts w:ascii="Arial" w:eastAsia="Arial" w:hAnsi="Arial" w:cs="Arial"/>
                <w:color w:val="000000"/>
                <w:sz w:val="20"/>
                <w:szCs w:val="20"/>
              </w:rPr>
            </w:pPr>
            <w:r>
              <w:rPr>
                <w:rFonts w:ascii="Arial" w:eastAsia="Arial" w:hAnsi="Arial" w:cs="Arial"/>
                <w:color w:val="000000"/>
                <w:sz w:val="20"/>
                <w:szCs w:val="20"/>
              </w:rPr>
              <w:t>- Lãnh đạo Thuế tỉnh Hưng Yên;</w:t>
            </w:r>
          </w:p>
          <w:p w:rsidR="00FC28AB" w:rsidRDefault="00C665B9">
            <w:pPr>
              <w:pBdr>
                <w:top w:val="nil"/>
                <w:left w:val="nil"/>
                <w:bottom w:val="nil"/>
                <w:right w:val="nil"/>
                <w:between w:val="nil"/>
              </w:pBdr>
              <w:tabs>
                <w:tab w:val="left" w:pos="258"/>
              </w:tabs>
              <w:rPr>
                <w:rFonts w:ascii="Arial" w:eastAsia="Arial" w:hAnsi="Arial" w:cs="Arial"/>
                <w:color w:val="000000"/>
                <w:sz w:val="20"/>
                <w:szCs w:val="20"/>
              </w:rPr>
            </w:pPr>
            <w:bookmarkStart w:id="6" w:name="bookmark=id.vifokmq0g69y" w:colFirst="0" w:colLast="0"/>
            <w:bookmarkEnd w:id="6"/>
            <w:r>
              <w:rPr>
                <w:rFonts w:ascii="Arial" w:eastAsia="Arial" w:hAnsi="Arial" w:cs="Arial"/>
                <w:color w:val="000000"/>
                <w:sz w:val="20"/>
                <w:szCs w:val="20"/>
              </w:rPr>
              <w:t>- Phòng Kiểm tra số 1,2;</w:t>
            </w:r>
          </w:p>
          <w:p w:rsidR="00FC28AB" w:rsidRDefault="00C665B9">
            <w:pPr>
              <w:pBdr>
                <w:top w:val="nil"/>
                <w:left w:val="nil"/>
                <w:bottom w:val="nil"/>
                <w:right w:val="nil"/>
                <w:between w:val="nil"/>
              </w:pBdr>
              <w:tabs>
                <w:tab w:val="left" w:pos="258"/>
              </w:tabs>
              <w:rPr>
                <w:rFonts w:ascii="Arial" w:eastAsia="Arial" w:hAnsi="Arial" w:cs="Arial"/>
                <w:color w:val="000000"/>
                <w:sz w:val="20"/>
                <w:szCs w:val="20"/>
              </w:rPr>
            </w:pPr>
            <w:bookmarkStart w:id="7" w:name="bookmark=id.5aze76sdaeu1" w:colFirst="0" w:colLast="0"/>
            <w:bookmarkEnd w:id="7"/>
            <w:r>
              <w:rPr>
                <w:rFonts w:ascii="Arial" w:eastAsia="Arial" w:hAnsi="Arial" w:cs="Arial"/>
                <w:smallCaps/>
                <w:color w:val="000000"/>
                <w:sz w:val="20"/>
                <w:szCs w:val="20"/>
              </w:rPr>
              <w:t>- NVDTPC;</w:t>
            </w:r>
          </w:p>
          <w:p w:rsidR="00FC28AB" w:rsidRDefault="00C665B9">
            <w:pPr>
              <w:pBdr>
                <w:top w:val="nil"/>
                <w:left w:val="nil"/>
                <w:bottom w:val="nil"/>
                <w:right w:val="nil"/>
                <w:between w:val="nil"/>
              </w:pBdr>
              <w:tabs>
                <w:tab w:val="left" w:pos="258"/>
              </w:tabs>
              <w:rPr>
                <w:rFonts w:ascii="Arial" w:eastAsia="Arial" w:hAnsi="Arial" w:cs="Arial"/>
                <w:color w:val="000000"/>
                <w:sz w:val="20"/>
                <w:szCs w:val="20"/>
              </w:rPr>
            </w:pPr>
            <w:bookmarkStart w:id="8" w:name="bookmark=id.mlpw8sohgghu" w:colFirst="0" w:colLast="0"/>
            <w:bookmarkEnd w:id="8"/>
            <w:r>
              <w:rPr>
                <w:rFonts w:ascii="Arial" w:eastAsia="Arial" w:hAnsi="Arial" w:cs="Arial"/>
                <w:color w:val="000000"/>
                <w:sz w:val="20"/>
                <w:szCs w:val="20"/>
              </w:rPr>
              <w:t>- Website Thuế tỉnh Hưng Yên;</w:t>
            </w:r>
          </w:p>
          <w:p w:rsidR="00FC28AB" w:rsidRDefault="00C665B9">
            <w:pPr>
              <w:pBdr>
                <w:top w:val="nil"/>
                <w:left w:val="nil"/>
                <w:bottom w:val="nil"/>
                <w:right w:val="nil"/>
                <w:between w:val="nil"/>
              </w:pBdr>
              <w:tabs>
                <w:tab w:val="left" w:pos="258"/>
              </w:tabs>
              <w:spacing w:line="228" w:lineRule="auto"/>
              <w:rPr>
                <w:rFonts w:ascii="Arial" w:eastAsia="Arial" w:hAnsi="Arial" w:cs="Arial"/>
                <w:color w:val="000000"/>
                <w:sz w:val="20"/>
                <w:szCs w:val="20"/>
                <w:vertAlign w:val="superscript"/>
              </w:rPr>
            </w:pPr>
            <w:bookmarkStart w:id="9" w:name="bookmark=id.ahmlbwb1kxos" w:colFirst="0" w:colLast="0"/>
            <w:bookmarkEnd w:id="9"/>
            <w:r>
              <w:rPr>
                <w:rFonts w:ascii="Arial" w:eastAsia="Arial" w:hAnsi="Arial" w:cs="Arial"/>
                <w:color w:val="000000"/>
                <w:sz w:val="20"/>
                <w:szCs w:val="20"/>
              </w:rPr>
              <w:t xml:space="preserve">- Lưu: VT, QLDN1 </w:t>
            </w:r>
            <w:r>
              <w:rPr>
                <w:rFonts w:ascii="Arial" w:eastAsia="Arial" w:hAnsi="Arial" w:cs="Arial"/>
                <w:color w:val="000000"/>
                <w:sz w:val="20"/>
                <w:szCs w:val="20"/>
                <w:vertAlign w:val="superscript"/>
              </w:rPr>
              <w:t>Huyền</w:t>
            </w:r>
          </w:p>
          <w:p w:rsidR="00FC28AB" w:rsidRDefault="00FC28AB">
            <w:pPr>
              <w:pBdr>
                <w:top w:val="nil"/>
                <w:left w:val="nil"/>
                <w:bottom w:val="nil"/>
                <w:right w:val="nil"/>
                <w:between w:val="nil"/>
              </w:pBdr>
              <w:tabs>
                <w:tab w:val="left" w:pos="258"/>
              </w:tabs>
              <w:rPr>
                <w:rFonts w:ascii="Arial" w:eastAsia="Arial" w:hAnsi="Arial" w:cs="Arial"/>
                <w:sz w:val="20"/>
                <w:szCs w:val="20"/>
              </w:rPr>
            </w:pPr>
          </w:p>
        </w:tc>
        <w:tc>
          <w:tcPr>
            <w:tcW w:w="3350" w:type="dxa"/>
            <w:shd w:val="clear" w:color="auto" w:fill="FFFFFF"/>
            <w:tcMar>
              <w:top w:w="0" w:type="dxa"/>
              <w:left w:w="108" w:type="dxa"/>
              <w:bottom w:w="0" w:type="dxa"/>
              <w:right w:w="108" w:type="dxa"/>
            </w:tcMar>
          </w:tcPr>
          <w:p w:rsidR="00FC28AB" w:rsidRDefault="00C665B9">
            <w:pPr>
              <w:spacing w:before="120" w:after="120"/>
              <w:jc w:val="center"/>
              <w:rPr>
                <w:rFonts w:ascii="Arial" w:eastAsia="Arial" w:hAnsi="Arial" w:cs="Arial"/>
                <w:b/>
                <w:bCs/>
                <w:sz w:val="20"/>
                <w:szCs w:val="20"/>
              </w:rPr>
            </w:pPr>
            <w:bookmarkStart w:id="10" w:name="_heading=h.z2vwejmxtkt3" w:colFirst="0" w:colLast="0"/>
            <w:bookmarkEnd w:id="10"/>
            <w:r>
              <w:rPr>
                <w:rFonts w:ascii="Arial" w:eastAsia="Arial" w:hAnsi="Arial" w:cs="Arial"/>
                <w:b/>
                <w:bCs/>
                <w:sz w:val="20"/>
                <w:szCs w:val="20"/>
              </w:rPr>
              <w:t>KT. TRƯỞNG THUẾ TỈNH</w:t>
            </w:r>
          </w:p>
          <w:p w:rsidR="00FC28AB" w:rsidRDefault="00C665B9">
            <w:pPr>
              <w:spacing w:before="120" w:after="120"/>
              <w:jc w:val="center"/>
              <w:rPr>
                <w:rFonts w:ascii="Arial" w:eastAsia="Arial" w:hAnsi="Arial" w:cs="Arial"/>
                <w:b/>
                <w:bCs/>
                <w:sz w:val="20"/>
                <w:szCs w:val="20"/>
              </w:rPr>
            </w:pPr>
            <w:r>
              <w:rPr>
                <w:rFonts w:ascii="Arial" w:eastAsia="Arial" w:hAnsi="Arial" w:cs="Arial"/>
                <w:b/>
                <w:bCs/>
                <w:sz w:val="20"/>
                <w:szCs w:val="20"/>
              </w:rPr>
              <w:t>PHÓ TRƯỞNG THUẾ TỈNH</w:t>
            </w:r>
          </w:p>
          <w:p w:rsidR="00FC28AB" w:rsidRDefault="00FC28AB">
            <w:pPr>
              <w:spacing w:before="120" w:after="120"/>
              <w:jc w:val="center"/>
              <w:rPr>
                <w:rFonts w:ascii="Arial" w:eastAsia="Arial" w:hAnsi="Arial" w:cs="Arial"/>
                <w:b/>
                <w:bCs/>
                <w:sz w:val="20"/>
                <w:szCs w:val="20"/>
              </w:rPr>
            </w:pPr>
            <w:bookmarkStart w:id="11" w:name="_heading=h.8kjnr3anw7ph" w:colFirst="0" w:colLast="0"/>
            <w:bookmarkEnd w:id="11"/>
          </w:p>
          <w:p w:rsidR="00FC28AB" w:rsidRDefault="00C665B9">
            <w:pPr>
              <w:spacing w:before="120" w:after="120"/>
              <w:jc w:val="center"/>
              <w:rPr>
                <w:rFonts w:ascii="Arial" w:eastAsia="Arial" w:hAnsi="Arial" w:cs="Arial"/>
                <w:b/>
                <w:bCs/>
                <w:sz w:val="20"/>
                <w:szCs w:val="20"/>
              </w:rPr>
            </w:pPr>
            <w:bookmarkStart w:id="12" w:name="_heading=h.awqd8bq07t0" w:colFirst="0" w:colLast="0"/>
            <w:bookmarkEnd w:id="12"/>
            <w:r>
              <w:rPr>
                <w:rFonts w:ascii="Arial" w:eastAsia="Arial" w:hAnsi="Arial" w:cs="Arial"/>
                <w:b/>
                <w:bCs/>
                <w:sz w:val="20"/>
                <w:szCs w:val="20"/>
              </w:rPr>
              <w:t>Bùi Công Minh</w:t>
            </w:r>
          </w:p>
        </w:tc>
      </w:tr>
    </w:tbl>
    <w:p w:rsidR="00FC28AB" w:rsidRDefault="00FC28AB">
      <w:pPr>
        <w:pBdr>
          <w:top w:val="nil"/>
          <w:left w:val="nil"/>
          <w:bottom w:val="nil"/>
          <w:right w:val="nil"/>
          <w:between w:val="nil"/>
        </w:pBdr>
        <w:tabs>
          <w:tab w:val="left" w:pos="1764"/>
        </w:tabs>
        <w:spacing w:after="120"/>
        <w:rPr>
          <w:rFonts w:ascii="Arial" w:eastAsia="Arial" w:hAnsi="Arial" w:cs="Arial"/>
          <w:i/>
          <w:iCs/>
          <w:color w:val="000000"/>
          <w:sz w:val="20"/>
          <w:szCs w:val="20"/>
        </w:rPr>
      </w:pPr>
    </w:p>
    <w:sectPr w:rsidR="00FC28AB">
      <w:pgSz w:w="11900" w:h="16840"/>
      <w:pgMar w:top="1440" w:right="1440" w:bottom="1440" w:left="1440" w:header="397" w:footer="505"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8C33E00-569E-4332-A1D3-8BF0FA750E46}"/>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2" w:fontKey="{308966BA-B46A-4C43-86B7-BBDE07E763FB}"/>
  </w:font>
  <w:font w:name="Calibri">
    <w:panose1 w:val="020F0502020204030204"/>
    <w:charset w:val="00"/>
    <w:family w:val="swiss"/>
    <w:pitch w:val="variable"/>
    <w:sig w:usb0="E4002EFF" w:usb1="C000247B" w:usb2="00000009" w:usb3="00000000" w:csb0="000001FF" w:csb1="00000000"/>
    <w:embedRegular r:id="rId3" w:fontKey="{BBE7D480-C8C7-43E0-AAB9-4499BF03EFD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8AB"/>
    <w:rsid w:val="00165C5A"/>
    <w:rsid w:val="00C665B9"/>
    <w:rsid w:val="00FC2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AD963"/>
  <w15:docId w15:val="{B76E3D3D-7860-4B0A-818B-9226B1805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iCs/>
      <w:smallCaps w:val="0"/>
      <w:strike w:val="0"/>
      <w:sz w:val="28"/>
      <w:szCs w:val="28"/>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Vnbnnidung0">
    <w:name w:val="Văn bản nội dung"/>
    <w:basedOn w:val="Normal"/>
    <w:link w:val="Vnbnnidung"/>
    <w:pPr>
      <w:ind w:firstLine="400"/>
    </w:pPr>
    <w:rPr>
      <w:rFonts w:ascii="Times New Roman" w:eastAsia="Times New Roman" w:hAnsi="Times New Roman" w:cs="Times New Roman"/>
      <w:i/>
      <w:iCs/>
      <w:sz w:val="28"/>
      <w:szCs w:val="28"/>
    </w:rPr>
  </w:style>
  <w:style w:type="paragraph" w:customStyle="1" w:styleId="Vnbnnidung20">
    <w:name w:val="Văn bản nội dung (2)"/>
    <w:basedOn w:val="Normal"/>
    <w:link w:val="Vnbnnidung2"/>
    <w:rPr>
      <w:rFonts w:ascii="Times New Roman" w:eastAsia="Times New Roman" w:hAnsi="Times New Roman" w:cs="Times New Roman"/>
      <w:sz w:val="22"/>
      <w:szCs w:val="22"/>
    </w:rPr>
  </w:style>
  <w:style w:type="paragraph" w:customStyle="1" w:styleId="Chthchnh0">
    <w:name w:val="Chú thích ảnh"/>
    <w:basedOn w:val="Normal"/>
    <w:link w:val="Chthchnh"/>
    <w:pPr>
      <w:jc w:val="right"/>
    </w:pPr>
    <w:rPr>
      <w:rFonts w:ascii="Times New Roman" w:eastAsia="Times New Roman" w:hAnsi="Times New Roman" w:cs="Times New Roman"/>
      <w:b/>
      <w:bCs/>
      <w:sz w:val="28"/>
      <w:szCs w:val="28"/>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hakHA8twba6b3QcJAIStvCJR1A==">CgMxLjAyD2lkLmFhM3kxczNxbGFxbjIPaWQuNXU3Z2M5Z2U2cXJoMg9pZC5qZXkzcmJtMDA2YTcyD2lkLmxyanRpbW9vZzB0eTIPaWQuMXI4dW5tbThvYmJhMg9pZC52aWZva21xMGc2OXkyD2lkLjVhemU3NnNkYWV1MTIPaWQubWxwdzhzb2hnZ2h1Mg9pZC5haG1sYndiMWt4b3MyDmguejJ2d2VqbXh0a3QzMg5oLjhram5yM2FudzdwaDINaC5hd3FkOGJxMDd0MDgAciExVkxiV0psRWdCQndUSXBOTmR2LUFJWXZhVVkxaTBTQ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1154</Words>
  <Characters>6579</Characters>
  <Application>Microsoft Office Word</Application>
  <DocSecurity>0</DocSecurity>
  <Lines>54</Lines>
  <Paragraphs>15</Paragraphs>
  <ScaleCrop>false</ScaleCrop>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Tong Cuc Thue</dc:creator>
  <cp:lastModifiedBy>Admin</cp:lastModifiedBy>
  <cp:revision>3</cp:revision>
  <dcterms:created xsi:type="dcterms:W3CDTF">2025-12-08T10:28:00Z</dcterms:created>
  <dcterms:modified xsi:type="dcterms:W3CDTF">2025-12-09T02:10:00Z</dcterms:modified>
</cp:coreProperties>
</file>