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u w:val="none"/>
        </w:rPr>
      </w:pPr>
      <w:r>
        <w:rPr>
          <w:rFonts w:cs="Times New Roman" w:ascii="Times New Roman" w:hAnsi="Times New Roman"/>
          <w:b/>
          <w:bCs/>
          <w:sz w:val="24"/>
          <w:szCs w:val="24"/>
          <w:u w:val="none"/>
        </w:rPr>
        <w:t>Danh sách Thông tư có hiệu lực từ 01/7/2026</w:t>
      </w:r>
    </w:p>
    <w:tbl>
      <w:tblPr>
        <w:tblW w:w="8455"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669"/>
        <w:gridCol w:w="5805"/>
        <w:gridCol w:w="1981"/>
      </w:tblGrid>
      <w:tr>
        <w:trPr>
          <w:trHeight w:val="288" w:hRule="atLeast"/>
        </w:trPr>
        <w:tc>
          <w:tcPr>
            <w:tcW w:w="669" w:type="dxa"/>
            <w:tcBorders>
              <w:top w:val="single" w:sz="4" w:space="0" w:color="000000"/>
              <w:start w:val="single" w:sz="4" w:space="0" w:color="000000"/>
              <w:bottom w:val="single" w:sz="4" w:space="0" w:color="000000"/>
              <w:end w:val="single" w:sz="4" w:space="0" w:color="000000"/>
            </w:tcBorders>
            <w:shd w:color="000000" w:fill="FFFFFF" w:val="clear"/>
            <w:vAlign w:val="bottom"/>
          </w:tcPr>
          <w:p>
            <w:pPr>
              <w:pStyle w:val="Normal"/>
              <w:spacing w:lineRule="auto" w:line="240" w:before="0" w:after="0"/>
              <w:jc w:val="center"/>
              <w:rPr>
                <w:color w:val="000000"/>
                <w:u w:val="none"/>
              </w:rPr>
            </w:pPr>
            <w:r>
              <w:rPr>
                <w:rFonts w:eastAsia="Times New Roman" w:cs="Times New Roman" w:ascii="Times New Roman" w:hAnsi="Times New Roman"/>
                <w:b/>
                <w:bCs/>
                <w:color w:val="000000"/>
                <w:kern w:val="0"/>
                <w:sz w:val="24"/>
                <w:szCs w:val="24"/>
                <w:u w:val="none"/>
                <w14:ligatures w14:val="none"/>
              </w:rPr>
              <w:t>STT</w:t>
            </w:r>
          </w:p>
        </w:tc>
        <w:tc>
          <w:tcPr>
            <w:tcW w:w="5805" w:type="dxa"/>
            <w:tcBorders>
              <w:top w:val="single" w:sz="4" w:space="0" w:color="000000"/>
              <w:bottom w:val="single" w:sz="4" w:space="0" w:color="000000"/>
              <w:end w:val="single" w:sz="4" w:space="0" w:color="000000"/>
            </w:tcBorders>
            <w:shd w:color="000000" w:fill="FFFFFF" w:val="clear"/>
            <w:vAlign w:val="bottom"/>
          </w:tcPr>
          <w:p>
            <w:pPr>
              <w:pStyle w:val="Normal"/>
              <w:spacing w:lineRule="auto" w:line="240" w:before="0" w:after="0"/>
              <w:jc w:val="center"/>
              <w:rPr>
                <w:color w:val="000000"/>
                <w:u w:val="none"/>
              </w:rPr>
            </w:pPr>
            <w:r>
              <w:rPr>
                <w:rFonts w:eastAsia="Times New Roman" w:cs="Times New Roman" w:ascii="Times New Roman" w:hAnsi="Times New Roman"/>
                <w:b/>
                <w:bCs/>
                <w:color w:val="000000"/>
                <w:kern w:val="0"/>
                <w:sz w:val="24"/>
                <w:szCs w:val="24"/>
                <w:u w:val="none"/>
                <w14:ligatures w14:val="none"/>
              </w:rPr>
              <w:t>Tên văn bản</w:t>
            </w:r>
          </w:p>
        </w:tc>
        <w:tc>
          <w:tcPr>
            <w:tcW w:w="1981" w:type="dxa"/>
            <w:tcBorders>
              <w:top w:val="single" w:sz="4" w:space="0" w:color="000000"/>
              <w:bottom w:val="single" w:sz="4" w:space="0" w:color="000000"/>
              <w:end w:val="single" w:sz="4" w:space="0" w:color="000000"/>
            </w:tcBorders>
            <w:shd w:color="000000" w:fill="FFFFFF" w:val="clear"/>
            <w:vAlign w:val="bottom"/>
          </w:tcPr>
          <w:p>
            <w:pPr>
              <w:pStyle w:val="Normal"/>
              <w:spacing w:lineRule="auto" w:line="240" w:before="0" w:after="0"/>
              <w:jc w:val="center"/>
              <w:rPr>
                <w:color w:val="000000"/>
                <w:u w:val="none"/>
              </w:rPr>
            </w:pPr>
            <w:r>
              <w:rPr>
                <w:rFonts w:eastAsia="Times New Roman" w:cs="Times New Roman" w:ascii="Times New Roman" w:hAnsi="Times New Roman"/>
                <w:b/>
                <w:bCs/>
                <w:color w:val="000000"/>
                <w:kern w:val="0"/>
                <w:sz w:val="24"/>
                <w:szCs w:val="24"/>
                <w:u w:val="none"/>
                <w14:ligatures w14:val="none"/>
              </w:rPr>
              <w:t>Ngày ban hành</w:t>
            </w:r>
          </w:p>
        </w:tc>
      </w:tr>
      <w:tr>
        <w:trPr>
          <w:trHeight w:val="5760"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70/2026/TT-BCA của Bộ Công an sửa đổi, bổ sung một số điều của Thông tư 04/2015/TT-BCA ngày 05/01/2015 của Bộ trưởng Bộ Công an quy định mẫu giấy tờ liên quan đến việc nhập cảnh, xuất cảnh, cư trú của người nước ngoài tại Việt Nam (được sửa đổi, bổ sung một số điều tại Thông tư 57/2020/TT-BCA ngày 10/6/2020 và Thông tư 22/2023/TT-BCA ngày 30/6/2023) và Thông tư 31/2015/TT-BCA ngày 06/7/2015 của Bộ trưởng Bộ Công an hướng dẫn một số nội dung về cấp thị thực, cấp thẻ tạm trú, cấp giấy phép xuất nhập cảnh, giải quyết thường trú cho người nước ngoài tại Việt Nam (được sửa đổi, bổ sung một số điều tại Thông tư 65/2022/TT-BCA ngày 30/12/2022 và Thông tư 06/2025/TT-BCA ngày 16/01/2025)</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25/05/2026</w:t>
            </w:r>
          </w:p>
        </w:tc>
      </w:tr>
      <w:tr>
        <w:trPr>
          <w:trHeight w:val="2016"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32/2026/TT-BXD của Bộ Xây dựng quy định chi tiết một số điều của Nghị định 207/2026/NĐ-CP ngày 15/6/2026 của Chính phủ quy định chi tiết một số điều của Luật Xây dựng về quản lý chất lượng, thi công xây dựng và bảo trì công trình xây dựng</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22/06/2026</w:t>
            </w:r>
          </w:p>
        </w:tc>
      </w:tr>
      <w:tr>
        <w:trPr>
          <w:trHeight w:val="115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3</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75/2026/TT-BQP của Bộ Quốc phòng quy định chế độ quản lý, lưu trữ, khai thác, sử dụng hồ sơ quản lý tạm giữ, tạm giam trong Quân đội nhân dân</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16/06/2026</w:t>
            </w:r>
          </w:p>
        </w:tc>
      </w:tr>
      <w:tr>
        <w:trPr>
          <w:trHeight w:val="115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4</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83/2026/TT-BQP của Bộ Quốc phòng quy định Nội quy cơ sở giam giữ trong Quân đội nhân dân và danh mục đồ vật cấm đưa vào khu vực giam giữ</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20/06/2026</w:t>
            </w:r>
          </w:p>
        </w:tc>
      </w:tr>
      <w:tr>
        <w:trPr>
          <w:trHeight w:val="259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5</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85/2026/TT-BQP của Bộ Quốc phòng quy định giải quyết trường hợp người được tha tù trước thời hạn có điều kiện, người được hoãn chấp hành án phạt tù, người được tạm đình chỉ chấp hành án phạt tù, người được hưởng án treo, người chấp hành án phạt cải tạo không giam giữ do Quân đội quản lý, thi hành thay đổi nơi cư trú, nơi làm việc</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20/06/2026</w:t>
            </w:r>
          </w:p>
        </w:tc>
      </w:tr>
      <w:tr>
        <w:trPr>
          <w:trHeight w:val="115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6</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86/2026/TT-BQP của Bộ Quốc phòng quy định danh mục đồ vật cấm đưa vào nơi chấp hành án phạt tù và việc thu giữ, xử lý đồ vật cấm</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20/06/2026</w:t>
            </w:r>
          </w:p>
        </w:tc>
      </w:tr>
      <w:tr>
        <w:trPr>
          <w:trHeight w:val="1104"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7</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84/2026/TT-BQP của Bộ Quốc phòng quy định Nội quy cơ sở giam giữ phạm nhân trong Quân đội nhân dân</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20/06/2026</w:t>
            </w:r>
          </w:p>
        </w:tc>
      </w:tr>
      <w:tr>
        <w:trPr>
          <w:trHeight w:val="2016"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8</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25/2026/TT-NHNN của Ngân hàng Nhà nước Việt Nam sửa đổi, bổ sung một số điều của Thông tư 22/2019/TT-NHNN quy định các giới hạn, tỷ lệ bảo đảm an toàn trong hoạt động của ngân hàng, chi nhánh ngân hàng nước ngoài</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22/06/2026</w:t>
            </w:r>
          </w:p>
        </w:tc>
      </w:tr>
      <w:tr>
        <w:trPr>
          <w:trHeight w:val="2304"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9</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81/2026/TT-BQP của Bộ Quốc phòng quy định về định mức và loại quà người thân thích của người bị tạm giữ, người bị tạm giam được phép gửi; danh mục hàng hóa, giá bán trong căng tin và việc cấp phát báo cho người bị tạm giữ, người bị tạm giam tại cơ sở giam giữ trong Quân đội nhân dân</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18/06/2026</w:t>
            </w:r>
          </w:p>
        </w:tc>
      </w:tr>
      <w:tr>
        <w:trPr>
          <w:trHeight w:val="1728"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10</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78/2026/TT-BQP của Bộ Quốc phòng quy định việc tổ chức thăm gặp, làm việc đối với người bị tạm giữ, người bị tạm giam; chế độ ăn, ở và quản lý giam giữ người bị kết án tử hình đang bị tạm giam</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18/06/2026</w:t>
            </w:r>
          </w:p>
        </w:tc>
      </w:tr>
      <w:tr>
        <w:trPr>
          <w:trHeight w:val="1728"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11</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77/2026/TT-BQP của Bộ Quốc phòng quy định về quy chuẩn kỹ thuật trong thiết kế, xây dựng và các tiêu chuẩn ứng dụng khoa học công nghệ trong quản lý cơ sở giam giữ trong Quân đội nhân dân</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18/06/2026</w:t>
            </w:r>
          </w:p>
        </w:tc>
      </w:tr>
      <w:tr>
        <w:trPr>
          <w:trHeight w:val="1728"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12</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76/2026/TT-BQP của Bộ Quốc phòng quy định tổ chức bộ máy của Cơ quan quản lý thi hành án hình sự, Cơ quan thi hành án hình sự, Cơ quan quản lý tạm giữ, tạm giam và cấm đi khỏi nơi cư trú trong Quân đội nhân dân</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18/06/2026</w:t>
            </w:r>
          </w:p>
        </w:tc>
      </w:tr>
      <w:tr>
        <w:trPr>
          <w:trHeight w:val="1104"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13</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82/2026/TT-BQP của Bộ Quốc phòng quy định chế độ gặp, nhận quà và liên lạc của phạm nhân</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18/06/2026</w:t>
            </w:r>
          </w:p>
        </w:tc>
      </w:tr>
      <w:tr>
        <w:trPr>
          <w:trHeight w:val="1440"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14</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68/2026/TT-BTC của Bộ Tài chính quy định về nghiên cứu, ứng dụng khoa học, công nghệ, đổi mới sáng tạo và chuyển đổi số; Hệ thống thông tin, cơ sở dữ liệu về dự trữ quốc gia</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18/06/2026</w:t>
            </w:r>
          </w:p>
        </w:tc>
      </w:tr>
      <w:tr>
        <w:trPr>
          <w:trHeight w:val="1104"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15</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82/2026/TT-BCA của Bộ Công an quy định thực hiện mức lương cơ sở trong Công an nhân dân</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5/6/2026</w:t>
            </w:r>
          </w:p>
        </w:tc>
      </w:tr>
      <w:tr>
        <w:trPr>
          <w:trHeight w:val="115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16</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85/2026/TT-BCA của Bộ Công an quy định về khen thưởng phạm nhân, tổ, đội phạm nhân và xử lý phạm nhân vi phạm</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8/6/2026</w:t>
            </w:r>
          </w:p>
        </w:tc>
      </w:tr>
      <w:tr>
        <w:trPr>
          <w:trHeight w:val="259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17</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66/2026/TT-BTC của Bộ Tài chính hướng dẫn xác định nhu cầu, nguồn và phương thức chi thực hiện mức lương cơ sở và chế độ tiền thưởng theo Nghị định 161/2026/NĐ-CP ngày 15/5/2026 của Chính phủ và điều chỉnh trợ cấp hằng tháng đối với cán bộ xã đã nghỉ việc theo Nghị định 162/2026/NĐ-CP ngày 15/5/2026 của Chính phủ</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16/06/2026</w:t>
            </w:r>
          </w:p>
        </w:tc>
      </w:tr>
      <w:tr>
        <w:trPr>
          <w:trHeight w:val="1104"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18</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21/2026/TT-BYT của Bộ Y tế quy định về phân cấp trong lĩnh vực y, dược cổ truyền</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17/06/2026</w:t>
            </w:r>
          </w:p>
        </w:tc>
      </w:tr>
      <w:tr>
        <w:trPr>
          <w:trHeight w:val="1728"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19</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74/2026/TT-BQP của Bộ Quốc phòng hướng dẫn thực hiện mức lương cơ sở đối với các đối tượng hưởng lương hoặc phụ cấp quân hàm, sinh hoạt phí từ ngân sách Nhà nước trong các cơ quan, đơn vị thuộc Bộ Quốc phòng</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16/06/2026</w:t>
            </w:r>
          </w:p>
        </w:tc>
      </w:tr>
      <w:tr>
        <w:trPr>
          <w:trHeight w:val="1440"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20</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34/2026/TT-BKHCN của Bộ Khoa học và Công nghệ quy định về nội dung, trình tự phê duyệt quy hoạch kho số viễn thông và tài nguyên Internet và thực hiện việc phê duyệt quy hoạch</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15/06/2026</w:t>
            </w:r>
          </w:p>
        </w:tc>
      </w:tr>
      <w:tr>
        <w:trPr>
          <w:trHeight w:val="1104"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21</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53/2026/TT-BCA của Bộ Công an quy định về hoạt động hỗ trợ tư pháp trong Công an nhân dân</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15/05/2026</w:t>
            </w:r>
          </w:p>
        </w:tc>
      </w:tr>
      <w:tr>
        <w:trPr>
          <w:trHeight w:val="1728"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22</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31/2026/TT-BKHCN của Bộ Khoa học và Công nghệ quy định việc phân cấp thẩm quyền cấp, cấp đổi, sửa đổi, bổ sung, gia hạn, thu hồi giấy phép sử dụng tần số vô tuyến điện, xử lý đề nghị ngừng sử dụng tần số vô tuyến điện</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10/6/2026</w:t>
            </w:r>
          </w:p>
        </w:tc>
      </w:tr>
      <w:tr>
        <w:trPr>
          <w:trHeight w:val="115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23</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31/2026/TT-BCT của Bộ Công Thương quy định về truy xuất nguồn gốc sản phẩm, hàng hóa thuộc phạm vi quản lý của Bộ Công Thương</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11/6/2026</w:t>
            </w:r>
          </w:p>
        </w:tc>
      </w:tr>
      <w:tr>
        <w:trPr>
          <w:trHeight w:val="2016"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24</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13/2026/TT-BVHTTDL của Bộ Văn hóa, Thể thao và Du lịch quy định về điều kiện, hoạt động, hồ sơ thông báo thành lập cơ quan thường trú, văn phòng đại diện, cử phóng viên thường trú và mẫu giấy giới thiệu khi hoạt động nghiệp vụ báo chí</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3/6/2026</w:t>
            </w:r>
          </w:p>
        </w:tc>
      </w:tr>
      <w:tr>
        <w:trPr>
          <w:trHeight w:val="1104"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25</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56/2026/TT-BCA của Bộ Công an quy định quản lý, theo dõi người bị cấm đi khỏi nơi cư trú</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15/05/2026</w:t>
            </w:r>
          </w:p>
        </w:tc>
      </w:tr>
      <w:tr>
        <w:trPr>
          <w:trHeight w:val="1104"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26</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57/2026/TT-BCA của Bộ Công an quy định về chế độ quản lý giam giữ người bị tạm giữ, người bị tạm giam</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15/05/2026</w:t>
            </w:r>
          </w:p>
        </w:tc>
      </w:tr>
      <w:tr>
        <w:trPr>
          <w:trHeight w:val="259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27</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69/2026/TT-BCA của Bộ Công an sửa đổi, bổ sung một số điều của Thông tư 31/2023/TT-BCA ngày 20/7/2023 của Bộ trưởng Bộ Công an quy định về mẫu hộ chiếu, mẫu giấy thông hành và các biểu mẫu liên quan, đã được sửa đổi, bổ sung bởi Thông tư 68/2025/TT-BCA ngày 31/7/2025 của Bộ trưởng Bộ Công an</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22/05/2026</w:t>
            </w:r>
          </w:p>
        </w:tc>
      </w:tr>
      <w:tr>
        <w:trPr>
          <w:trHeight w:val="1440"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28</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22/2026/TT-BXD của Bộ Xây dựng quy định về tiêu chuẩn, tập huấn đăng kiểm viên; cấp mới, cấp lại, tạm đình chỉ và thu hồi chứng chỉ đăng kiểm viên phương tiện giao thông đường bộ</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15/05/2026</w:t>
            </w:r>
          </w:p>
        </w:tc>
      </w:tr>
      <w:tr>
        <w:trPr>
          <w:trHeight w:val="1440"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29</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60/2026/TT-BCA của Bộ Công an quy định danh mục và quản lý các hạng mục công trình xây dựng trại tạm giam, phân trại tạm giam, buồng tạm giữ trong Công an nhân dân</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15/05/2026</w:t>
            </w:r>
          </w:p>
        </w:tc>
      </w:tr>
      <w:tr>
        <w:trPr>
          <w:trHeight w:val="115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30</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14/2026/TT-BNV của Bộ Nội vụ quy định chi tiết việc điều chỉnh lương hưu, trợ cấp bảo hiểm xã hội và trợ cấp hằng tháng</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29/05/2026</w:t>
            </w:r>
          </w:p>
        </w:tc>
      </w:tr>
      <w:tr>
        <w:trPr>
          <w:trHeight w:val="2016"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31</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13/2026/TT-BNV của Bộ Nội vụ hướng dẫn thực hiện mức lương cơ sở đối với các đối tượng hưởng lương, phụ cấp trong các cơ quan, tổ chức, đơn vị sự nghiệp công lập của Đảng, Nhà nước, Mặt trận Tổ quốc Việt Nam, tổ chức chính trị - xã hội và hội</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29/05/2026</w:t>
            </w:r>
          </w:p>
        </w:tc>
      </w:tr>
      <w:tr>
        <w:trPr>
          <w:trHeight w:val="115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32</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12/2026/TT-BNV của Bộ Nội vụ hướng dẫn thực hiện điều chỉnh mức trợ cấp hằng tháng đối với cán bộ xã, phường, thị trấn già yếu đã nghỉ việc</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29/05/2026</w:t>
            </w:r>
          </w:p>
        </w:tc>
      </w:tr>
      <w:tr>
        <w:trPr>
          <w:trHeight w:val="115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33</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58/2026/TT-BCA của Bộ Công an quy định Nội quy cơ sở giam giữ và danh mục đồ vật cấm đưa vào khu vực giam giữ</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15/05/2026</w:t>
            </w:r>
          </w:p>
        </w:tc>
      </w:tr>
      <w:tr>
        <w:trPr>
          <w:trHeight w:val="1440"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34</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20/2026/TT-BXD của Bộ Xây dựng quy định về quản lý Nhà nước chuyên ngành tại cảng thủy nội địa, bến thủy nội địa, khu neo đậu và quản lý hoạt động hoa tiêu đường thủy nội địa</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15/05/2026</w:t>
            </w:r>
          </w:p>
        </w:tc>
      </w:tr>
      <w:tr>
        <w:trPr>
          <w:trHeight w:val="1728"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35</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63/2026/TT-BCA của Bộ Công an quy định chi tiết việc nhận quà; việc cấp phát báo in, nghe phát thanh, xem chương trình truyền hình và tổ chức hoạt động căng tin phục vụ người bị tạm giữ, người bị tạm giam</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18/05/2026</w:t>
            </w:r>
          </w:p>
        </w:tc>
      </w:tr>
      <w:tr>
        <w:trPr>
          <w:trHeight w:val="1440"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36</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07/2026/TT-BTP của Bộ Tư pháp về trình tự, thủ tục thu, nộp chi phí thực tế, thực hiện tống đạt giấy tờ của nước ngoài và các mẫu văn bản trong tương trợ tư pháp về dân sự</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16/05/2026</w:t>
            </w:r>
          </w:p>
        </w:tc>
      </w:tr>
      <w:tr>
        <w:trPr>
          <w:trHeight w:val="1104"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37</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58/2026/TT-BTC của Bộ Tài chính hướng dẫn Chế độ kế toán cho doanh nghiệp siêu nhỏ</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25/05/2026</w:t>
            </w:r>
          </w:p>
        </w:tc>
      </w:tr>
      <w:tr>
        <w:trPr>
          <w:trHeight w:val="115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38</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23/2026/TT-BXD của Bộ Xây dựng quy định cơ chế, chính sách quản lý giá dịch vụ thuộc lĩnh vực hàng không dân dụng</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15/05/2026</w:t>
            </w:r>
          </w:p>
        </w:tc>
      </w:tr>
      <w:tr>
        <w:trPr>
          <w:trHeight w:val="1728"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39</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08/2026/TT-BTP của Bộ Tư pháp hướng dẫn thi hành Nghị định 151/2026/NĐ-CP ngày 13/5/2026 của Chính phủ quy định về tổ chức và hoạt động của văn phòng thi hành án dân sự, Thừa hành viên</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16/05/2026</w:t>
            </w:r>
          </w:p>
        </w:tc>
      </w:tr>
      <w:tr>
        <w:trPr>
          <w:trHeight w:val="115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40</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65/2026/TT-BCA của Bộ Công an quy định về đồ vật cấm đưa vào nơi chấp hành án phạt tù và việc thu giữ, xử lý đồ vật cấm</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19/05/2026</w:t>
            </w:r>
          </w:p>
        </w:tc>
      </w:tr>
      <w:tr>
        <w:trPr>
          <w:trHeight w:val="1104"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41</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21/2026/TT-BXD của Bộ Xây dựng quy định về quản lý kết cấu hạ tầng đường thủy nội địa</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15/05/2026</w:t>
            </w:r>
          </w:p>
        </w:tc>
      </w:tr>
      <w:tr>
        <w:trPr>
          <w:trHeight w:val="2016"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42</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27/2026/TT-BCT của Bộ Công Thương quy định việc phân cấp thực hiện một số nhiệm vụ và giải quyết một số thủ tục hành chính trong lĩnh vực quản lý hoạt động kinh doanh theo phương thức đa cấp thuộc thẩm quyền của Bộ Công Thương</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21/05/2026</w:t>
            </w:r>
          </w:p>
        </w:tc>
      </w:tr>
      <w:tr>
        <w:trPr>
          <w:trHeight w:val="115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43</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62/2026/TT-BCA của Bộ Công an quy định về phân cấp, cắt giảm, đơn giản hóa thủ tục hành chính thuộc phạm vi quản lý của Bộ Công an</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18/05/2026</w:t>
            </w:r>
          </w:p>
        </w:tc>
      </w:tr>
      <w:tr>
        <w:trPr>
          <w:trHeight w:val="1728"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44</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50/2026/TT-BCA của Bộ Công an quy định về các loại biểu mẫu giấy tờ, sổ sách trong công tác dẫn độ và công tác chuyển giao người đang chấp hành án phạt tù thuộc thẩm quyền của Công an nhân dân</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13/05/2026</w:t>
            </w:r>
          </w:p>
        </w:tc>
      </w:tr>
      <w:tr>
        <w:trPr>
          <w:trHeight w:val="1440"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45</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08/2026/TT-BNV của Bộ Nội vụ quy định chi tiết và hướng dẫn thi hành một số điều của Nghị định 337/2025/NĐ-CP ngày 24/12/2025 của Chính phủ quy định về hợp đồng lao động điện tử</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15/05/2026</w:t>
            </w:r>
          </w:p>
        </w:tc>
      </w:tr>
      <w:tr>
        <w:trPr>
          <w:trHeight w:val="115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46</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05/2026/TT-BTP của Bộ Tư pháp quy định một số nội dung về hoạt động thống kê thi hành án dân sự, theo dõi thi hành án hành chính</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15/05/2026</w:t>
            </w:r>
          </w:p>
        </w:tc>
      </w:tr>
      <w:tr>
        <w:trPr>
          <w:trHeight w:val="1104"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47</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49/2026/TT-BCA của Bộ Công an quy định chi tiết một số điều của Luật Dẫn độ trong Công an nhân dân</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13/05/2026</w:t>
            </w:r>
          </w:p>
        </w:tc>
      </w:tr>
      <w:tr>
        <w:trPr>
          <w:trHeight w:val="1104"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48</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13/2026/TT-BYT của Bộ Y tế quy định về hoạt động tiêm chủng</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16/05/2026</w:t>
            </w:r>
          </w:p>
        </w:tc>
      </w:tr>
      <w:tr>
        <w:trPr>
          <w:trHeight w:val="1104"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49</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18/2026/TT-BXD của Bộ Xây dựng ban hành Chương trình an toàn hàng không dân dụng Việt Nam</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30/04/2026</w:t>
            </w:r>
          </w:p>
        </w:tc>
      </w:tr>
      <w:tr>
        <w:trPr>
          <w:trHeight w:val="115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50</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14/2026/TT-BYT của Bộ Y tế quy định tiêu chuẩn chẩn đoán và quy trình chuyên môn để xác định tình trạng nghiện ma túy</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16/05/2026</w:t>
            </w:r>
          </w:p>
        </w:tc>
      </w:tr>
      <w:tr>
        <w:trPr>
          <w:trHeight w:val="259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51</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56/2026/TT-BTC của Bộ Tài chính sửa đổi, bổ sung một số điều của Thông tư 52/2025/TT-BTC ngày 24/6/2025 của Bộ trưởng Bộ Tài chính quy định mức thu, miễn, chế độ thu, nộp, quản lý và sử dụng phí quyền hoạt động viễn thông, lệ phí cấp giấy phép kinh doanh dịch vụ viễn thông và giấy phép nghiệp vụ viễn thông</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15/05/2026</w:t>
            </w:r>
          </w:p>
        </w:tc>
      </w:tr>
      <w:tr>
        <w:trPr>
          <w:trHeight w:val="115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52</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08/2026/TT-KTNN của Kiểm toán Nhà nước bãi bỏ toàn bộ hai văn bản quy phạm pháp luật do Tổng Kiểm toán Nhà nước ban hành</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15/05/2026</w:t>
            </w:r>
          </w:p>
        </w:tc>
      </w:tr>
      <w:tr>
        <w:trPr>
          <w:trHeight w:val="1104"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53</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12/2026/TT-BYT của Bộ Y tế quy định Danh mục bệnh bẩm sinh cần sàng lọc trước sinh và sơ sinh</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15/05/2026</w:t>
            </w:r>
          </w:p>
        </w:tc>
      </w:tr>
      <w:tr>
        <w:trPr>
          <w:trHeight w:val="115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54</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11/2026/TT-BYT của Bộ Y tế quy định Danh mục các bệnh được thông báo, tiết lộ giới tính thai nhi để phục vụ chẩn đoán và điều trị</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15/05/2026</w:t>
            </w:r>
          </w:p>
        </w:tc>
      </w:tr>
      <w:tr>
        <w:trPr>
          <w:trHeight w:val="1104"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55</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15/2026/TT-BYT của Bộ Y tế quy định chi tiết một số điều của Luật Phòng bệnh</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17/05/2026</w:t>
            </w:r>
          </w:p>
        </w:tc>
      </w:tr>
      <w:tr>
        <w:trPr>
          <w:trHeight w:val="259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56</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10/2026/TT-BYT của Bộ Y tế quy định chi tiết hướng dẫn về tiêu chuẩn, định mức sử dụng máy móc, thiết bị chuyên dùng trong lĩnh vực y tế thuộc lĩnh vực quản lý Nhà nước của Bộ Y tế và phân cấp thẩm quyền quyết định tiêu chuẩn, định mức sử dụng máy móc, thiết bị chuyên dùng thuộc phạm vi quản lý của Bộ Y tế</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14/05/2026</w:t>
            </w:r>
          </w:p>
        </w:tc>
      </w:tr>
      <w:tr>
        <w:trPr>
          <w:trHeight w:val="1440"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57</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48/2026/TT-BCA của Bộ Công an ban hành Quy chuẩn kỹ thuật quốc gia về thiết bị camera giám sát sử dụng giao thức Internet - Các yêu cầu an ninh mạng cơ bản</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12/5/2026</w:t>
            </w:r>
          </w:p>
        </w:tc>
      </w:tr>
      <w:tr>
        <w:trPr>
          <w:trHeight w:val="1440"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58</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47/2026/TT-BCA của Bộ Công an ban hành Quy chuẩn kỹ thuật quốc gia về an ninh mạng cho hệ thống thông tin lưu trữ tài liệu điện tử trong các cơ quan đảng, Nhà nước</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12/5/2026</w:t>
            </w:r>
          </w:p>
        </w:tc>
      </w:tr>
      <w:tr>
        <w:trPr>
          <w:trHeight w:val="403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59</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19/2026/TT-BXD của Bộ Xây dựng sửa đổi, bổ sung một số điều của Thông tư 12/2025/TT-BXD ngày 30/6/2025 của Bộ trưởng Bộ Xây dựng quy định về tải trọng, khổ giới hạn của đường bộ; lưu hành xe quá khổ giới hạn, xe quá tải trọng, xe bánh xích trên đường bộ; hàng siêu trường, siêu trọng, vận chuyển hàng siêu trường, siêu trọng; xếp hàng hóa trên phương tiện giao thông đường bộ; cấp giấy phép lưu hành cho xe quá tải trọng, xe quá khổ giới hạn, xe bánh xích, xe vận chuyển hàng siêu trường, siêu trọng trên đường bộ</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8/5/2026</w:t>
            </w:r>
          </w:p>
        </w:tc>
      </w:tr>
      <w:tr>
        <w:trPr>
          <w:trHeight w:val="2016"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60</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17/2026/TT-BXD của Bộ Xây dựng sửa đổi, bổ sung một số điều của Thông tư 14/2025/TT-BXD ngày 30/6/2025 của Bộ Xây dựng quy định về đào tạo lái xe; bồi dưỡng, kiểm tra, cấp chứng chỉ bồi dưỡng kiến thức pháp luật về giao thông đường bộ</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29/04/2026</w:t>
            </w:r>
          </w:p>
        </w:tc>
      </w:tr>
      <w:tr>
        <w:trPr>
          <w:trHeight w:val="115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61</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7/2026/TT-BNV của Bộ Nội vụ quy định mức lương của chuyên gia tư vấn trong nước làm cơ sở cho việc xác định giá gói thầu</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5/5/2026</w:t>
            </w:r>
          </w:p>
        </w:tc>
      </w:tr>
      <w:tr>
        <w:trPr>
          <w:trHeight w:val="1104"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62</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06/2026/TT-BYT của Bộ Y tế quy định về mã hóa bệnh tật, nguyên nhân tử vong theo ICD-10</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2/4/2026</w:t>
            </w:r>
          </w:p>
        </w:tc>
      </w:tr>
      <w:tr>
        <w:trPr>
          <w:trHeight w:val="1440"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63</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83/2025/TT-NHNN của Ngân hàng Nhà nước Việt Nam quy định về hệ thống kiểm soát nội bộ của ngân hàng thương mại, chi nhánh ngân hàng nước ngoài</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31/12/2025</w:t>
            </w:r>
          </w:p>
        </w:tc>
      </w:tr>
      <w:tr>
        <w:trPr>
          <w:trHeight w:val="115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64</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98/2025/TT-BNNMT của Bộ Nông nghiệp và Môi trường ban hành Quy chuẩn kỹ thuật quốc gia về an toàn đối với máy, thiết bị nông nghiệp</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31/12/2025</w:t>
            </w:r>
          </w:p>
        </w:tc>
      </w:tr>
      <w:tr>
        <w:trPr>
          <w:trHeight w:val="1440"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65</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49/2025/TT-BKHCN của Bộ Khoa học và Công nghệ ban hành "Quy chuẩn kỹ thuật quốc gia về chất lượng dịch vụ bưu chính phổ cập và dịch vụ công ích trong hoạt động phát hành báo chí"</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31/12/2025</w:t>
            </w:r>
          </w:p>
        </w:tc>
      </w:tr>
      <w:tr>
        <w:trPr>
          <w:trHeight w:val="1440"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66</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70/2025/TT-BXD của Bộ Xây dựng ban hành Quy chuẩn kỹ thuật quốc gia về Khí thải Mức 4 đối với xe mô tô hai bánh, xe gắn máy hai bánh sản xuất, lắp ráp và nhập khẩu mới</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31/12/2025</w:t>
            </w:r>
          </w:p>
        </w:tc>
      </w:tr>
      <w:tr>
        <w:trPr>
          <w:trHeight w:val="115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67</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86/2025/TT-BNNMT của Bộ Nông nghiệp và Môi trường ban hành Quy chuẩn kỹ thuật quốc gia về chất lượng phân bón</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31/12/2025</w:t>
            </w:r>
          </w:p>
        </w:tc>
      </w:tr>
      <w:tr>
        <w:trPr>
          <w:trHeight w:val="1380"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68</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93/2025/TT-BNNMT của Bộ Nông nghiệp và Môi trường ban hành Quy chuẩn kỹ thuật quốc gia về chất lượng hạt giống lúa, ngô</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31/12/2025</w:t>
            </w:r>
          </w:p>
        </w:tc>
      </w:tr>
      <w:tr>
        <w:trPr>
          <w:trHeight w:val="1152"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69</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51/2025/TT-BKHCN của Bộ Khoa học và Công nghệ ban hành "Quy chuẩn kỹ thuật quốc gia về yêu cầu đối với dịch vụ cấp dấu thời gian"</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31/12/2025</w:t>
            </w:r>
          </w:p>
        </w:tc>
      </w:tr>
      <w:tr>
        <w:trPr>
          <w:trHeight w:val="1440"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70</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50/2025/TT-BKHCN của Bộ Khoa học và Công nghệ ban hành "Quy chuẩn kỹ thuật quốc gia về yêu cầu đối với dịch vụ chứng thực chữ ký số công cộng"</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31/12/2025</w:t>
            </w:r>
          </w:p>
        </w:tc>
      </w:tr>
      <w:tr>
        <w:trPr>
          <w:trHeight w:val="1440"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71</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53/2025/TT-BKHCN của Bộ Khoa học và Công nghệ ban hành "Quy chuẩn kỹ thuật quốc gia về yêu cầu đối với dịch vụ chứng thực thông điệp dữ liệu"</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31/12/2025</w:t>
            </w:r>
          </w:p>
        </w:tc>
      </w:tr>
      <w:tr>
        <w:trPr>
          <w:trHeight w:val="1440" w:hRule="atLeast"/>
        </w:trPr>
        <w:tc>
          <w:tcPr>
            <w:tcW w:w="669" w:type="dxa"/>
            <w:tcBorders>
              <w:start w:val="single" w:sz="4" w:space="0" w:color="000000"/>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72</w:t>
            </w:r>
          </w:p>
        </w:tc>
        <w:tc>
          <w:tcPr>
            <w:tcW w:w="5805" w:type="dxa"/>
            <w:tcBorders>
              <w:bottom w:val="single" w:sz="4" w:space="0" w:color="000000"/>
              <w:end w:val="single" w:sz="4" w:space="0" w:color="000000"/>
            </w:tcBorders>
            <w:shd w:color="000000" w:fill="FFFFFF" w:val="clear"/>
          </w:tcPr>
          <w:p>
            <w:pPr>
              <w:pStyle w:val="Normal"/>
              <w:spacing w:lineRule="auto" w:line="240" w:before="0" w:after="0"/>
              <w:rPr>
                <w:color w:val="000000"/>
                <w:u w:val="none"/>
              </w:rPr>
            </w:pPr>
            <w:r>
              <w:rPr>
                <w:rFonts w:eastAsia="Times New Roman" w:cs="Times New Roman" w:ascii="Times New Roman" w:hAnsi="Times New Roman"/>
                <w:color w:val="000000"/>
                <w:kern w:val="0"/>
                <w:sz w:val="24"/>
                <w:szCs w:val="24"/>
                <w:u w:val="none"/>
                <w14:ligatures w14:val="none"/>
              </w:rPr>
              <w:t>Thông tư 14/2023/TT-BTTTT của Bộ Thông tin và Truyền thông ban hành “Quy chuẩn kỹ thuật quốc gia về bộ phát đáp ra đa tìm kiếm và cứu nạn hoạt động trong băng tần từ 9 200 MHz đến 9 500 MHz”</w:t>
            </w:r>
          </w:p>
        </w:tc>
        <w:tc>
          <w:tcPr>
            <w:tcW w:w="1981" w:type="dxa"/>
            <w:tcBorders>
              <w:bottom w:val="single" w:sz="4" w:space="0" w:color="000000"/>
              <w:end w:val="single" w:sz="4" w:space="0" w:color="000000"/>
            </w:tcBorders>
            <w:shd w:color="000000" w:fill="FFFFFF" w:val="clear"/>
          </w:tcPr>
          <w:p>
            <w:pPr>
              <w:pStyle w:val="Normal"/>
              <w:spacing w:lineRule="auto" w:line="240" w:before="0" w:after="0"/>
              <w:jc w:val="center"/>
              <w:rPr>
                <w:color w:val="000000"/>
                <w:u w:val="none"/>
              </w:rPr>
            </w:pPr>
            <w:r>
              <w:rPr>
                <w:rFonts w:eastAsia="Times New Roman" w:cs="Times New Roman" w:ascii="Times New Roman" w:hAnsi="Times New Roman"/>
                <w:color w:val="000000"/>
                <w:kern w:val="0"/>
                <w:sz w:val="24"/>
                <w:szCs w:val="24"/>
                <w:u w:val="none"/>
                <w14:ligatures w14:val="none"/>
              </w:rPr>
              <w:t>24/11/2023</w:t>
            </w:r>
          </w:p>
        </w:tc>
      </w:tr>
    </w:tbl>
    <w:p>
      <w:pPr>
        <w:pStyle w:val="Normal"/>
        <w:spacing w:before="0" w:after="120"/>
        <w:rPr>
          <w:rFonts w:ascii="Times New Roman" w:hAnsi="Times New Roman" w:cs="Times New Roman"/>
          <w:sz w:val="24"/>
          <w:szCs w:val="24"/>
          <w:u w:val="none"/>
        </w:rPr>
      </w:pPr>
      <w:r>
        <w:rPr>
          <w:rFonts w:cs="Times New Roman" w:ascii="Times New Roman" w:hAnsi="Times New Roman"/>
          <w:sz w:val="24"/>
          <w:szCs w:val="24"/>
          <w:u w:val="none"/>
        </w:rPr>
      </w:r>
    </w:p>
    <w:sectPr>
      <w:type w:val="nextPage"/>
      <w:pgSz w:w="12240" w:h="15840"/>
      <w:pgMar w:left="1701" w:right="1138" w:gutter="0" w:header="0" w:top="992" w:footer="0" w:bottom="141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Calibri Light">
    <w:charset w:val="00" w:characterSet="windows-1252"/>
    <w:family w:val="swiss"/>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1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cstheme="minorBidi" w:eastAsiaTheme="minorHAnsi"/>
        <w:kern w:val="2"/>
        <w:sz w:val="22"/>
        <w:szCs w:val="22"/>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360" w:before="0" w:after="120"/>
      <w:jc w:val="start"/>
    </w:pPr>
    <w:rPr>
      <w:rFonts w:ascii="Calibri" w:hAnsi="Calibri" w:eastAsia="Calibri" w:cs="" w:cstheme="minorBidi" w:eastAsiaTheme="minorHAnsi"/>
      <w:color w:val="auto"/>
      <w:kern w:val="2"/>
      <w:sz w:val="22"/>
      <w:szCs w:val="22"/>
      <w:lang w:val="en-US" w:eastAsia="en-US" w:bidi="ar-SA"/>
      <w14:ligatures w14:val="standardContextual"/>
    </w:rPr>
  </w:style>
  <w:style w:type="paragraph" w:styleId="Heading1">
    <w:name w:val="heading 1"/>
    <w:basedOn w:val="Normal"/>
    <w:next w:val="Normal"/>
    <w:link w:val="Heading1Char"/>
    <w:uiPriority w:val="9"/>
    <w:qFormat/>
    <w:rsid w:val="00575c13"/>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Heading2Char"/>
    <w:uiPriority w:val="9"/>
    <w:semiHidden/>
    <w:unhideWhenUsed/>
    <w:qFormat/>
    <w:rsid w:val="00575c13"/>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Heading3Char"/>
    <w:uiPriority w:val="9"/>
    <w:semiHidden/>
    <w:unhideWhenUsed/>
    <w:qFormat/>
    <w:rsid w:val="00575c13"/>
    <w:pPr>
      <w:keepNext w:val="true"/>
      <w:keepLines/>
      <w:spacing w:before="160" w:after="80"/>
      <w:outlineLvl w:val="2"/>
    </w:pPr>
    <w:rPr>
      <w:rFonts w:ascii="Calibri" w:hAnsi="Calibri" w:eastAsia="" w:cs="" w:asciiTheme="minorHAnsi" w:cstheme="majorBidi" w:eastAsiaTheme="majorEastAsia" w:hAnsiTheme="minorHAnsi"/>
      <w:color w:themeColor="accent1" w:themeShade="bf" w:val="2F5496"/>
      <w:sz w:val="28"/>
      <w:szCs w:val="28"/>
    </w:rPr>
  </w:style>
  <w:style w:type="paragraph" w:styleId="Heading4">
    <w:name w:val="heading 4"/>
    <w:basedOn w:val="Normal"/>
    <w:next w:val="Normal"/>
    <w:link w:val="Heading4Char"/>
    <w:uiPriority w:val="9"/>
    <w:semiHidden/>
    <w:unhideWhenUsed/>
    <w:qFormat/>
    <w:rsid w:val="00575c13"/>
    <w:pPr>
      <w:keepNext w:val="true"/>
      <w:keepLines/>
      <w:spacing w:before="80" w:after="40"/>
      <w:outlineLvl w:val="3"/>
    </w:pPr>
    <w:rPr>
      <w:rFonts w:ascii="Calibri" w:hAnsi="Calibri" w:eastAsia="" w:cs="" w:asciiTheme="minorHAnsi" w:cstheme="majorBidi" w:eastAsiaTheme="majorEastAsia" w:hAnsiTheme="minorHAnsi"/>
      <w:i/>
      <w:iCs/>
      <w:color w:themeColor="accent1" w:themeShade="bf" w:val="2F5496"/>
    </w:rPr>
  </w:style>
  <w:style w:type="paragraph" w:styleId="Heading5">
    <w:name w:val="heading 5"/>
    <w:basedOn w:val="Normal"/>
    <w:next w:val="Normal"/>
    <w:link w:val="Heading5Char"/>
    <w:uiPriority w:val="9"/>
    <w:semiHidden/>
    <w:unhideWhenUsed/>
    <w:qFormat/>
    <w:rsid w:val="00575c13"/>
    <w:pPr>
      <w:keepNext w:val="true"/>
      <w:keepLines/>
      <w:spacing w:before="80" w:after="40"/>
      <w:outlineLvl w:val="4"/>
    </w:pPr>
    <w:rPr>
      <w:rFonts w:ascii="Calibri" w:hAnsi="Calibri" w:eastAsia="" w:cs="" w:asciiTheme="minorHAnsi" w:cstheme="majorBidi" w:eastAsiaTheme="majorEastAsia" w:hAnsiTheme="minorHAnsi"/>
      <w:color w:themeColor="accent1" w:themeShade="bf" w:val="2F5496"/>
    </w:rPr>
  </w:style>
  <w:style w:type="paragraph" w:styleId="Heading6">
    <w:name w:val="heading 6"/>
    <w:basedOn w:val="Normal"/>
    <w:next w:val="Normal"/>
    <w:link w:val="Heading6Char"/>
    <w:uiPriority w:val="9"/>
    <w:semiHidden/>
    <w:unhideWhenUsed/>
    <w:qFormat/>
    <w:rsid w:val="00575c13"/>
    <w:pPr>
      <w:keepNext w:val="true"/>
      <w:keepLines/>
      <w:spacing w:before="40" w:after="0"/>
      <w:outlineLvl w:val="5"/>
    </w:pPr>
    <w:rPr>
      <w:rFonts w:ascii="Calibri" w:hAnsi="Calibri" w:eastAsia="" w:cs="" w:asciiTheme="minorHAnsi" w:cstheme="majorBidi" w:eastAsiaTheme="majorEastAsia" w:hAnsiTheme="minorHAnsi"/>
      <w:i/>
      <w:iCs/>
      <w:color w:themeColor="text1" w:themeTint="a6" w:val="595959"/>
    </w:rPr>
  </w:style>
  <w:style w:type="paragraph" w:styleId="Heading7">
    <w:name w:val="heading 7"/>
    <w:basedOn w:val="Normal"/>
    <w:next w:val="Normal"/>
    <w:link w:val="Heading7Char"/>
    <w:uiPriority w:val="9"/>
    <w:semiHidden/>
    <w:unhideWhenUsed/>
    <w:qFormat/>
    <w:rsid w:val="00575c13"/>
    <w:pPr>
      <w:keepNext w:val="true"/>
      <w:keepLines/>
      <w:spacing w:before="40" w:after="0"/>
      <w:outlineLvl w:val="6"/>
    </w:pPr>
    <w:rPr>
      <w:rFonts w:ascii="Calibri" w:hAnsi="Calibri" w:eastAsia="" w:cs="" w:asciiTheme="minorHAnsi" w:cstheme="majorBidi" w:eastAsiaTheme="majorEastAsia" w:hAnsiTheme="minorHAnsi"/>
      <w:color w:themeColor="text1" w:themeTint="a6" w:val="595959"/>
    </w:rPr>
  </w:style>
  <w:style w:type="paragraph" w:styleId="Heading8">
    <w:name w:val="heading 8"/>
    <w:basedOn w:val="Normal"/>
    <w:next w:val="Normal"/>
    <w:link w:val="Heading8Char"/>
    <w:uiPriority w:val="9"/>
    <w:semiHidden/>
    <w:unhideWhenUsed/>
    <w:qFormat/>
    <w:rsid w:val="00575c13"/>
    <w:pPr>
      <w:keepNext w:val="true"/>
      <w:keepLines/>
      <w:spacing w:before="0" w:after="0"/>
      <w:outlineLvl w:val="7"/>
    </w:pPr>
    <w:rPr>
      <w:rFonts w:ascii="Calibri" w:hAnsi="Calibri" w:eastAsia="" w:cs="" w:asciiTheme="minorHAnsi" w:cstheme="majorBidi" w:eastAsiaTheme="majorEastAsia" w:hAnsiTheme="minorHAnsi"/>
      <w:i/>
      <w:iCs/>
      <w:color w:themeColor="text1" w:themeTint="d8" w:val="272727"/>
    </w:rPr>
  </w:style>
  <w:style w:type="paragraph" w:styleId="Heading9">
    <w:name w:val="heading 9"/>
    <w:basedOn w:val="Normal"/>
    <w:next w:val="Normal"/>
    <w:link w:val="Heading9Char"/>
    <w:uiPriority w:val="9"/>
    <w:semiHidden/>
    <w:unhideWhenUsed/>
    <w:qFormat/>
    <w:rsid w:val="00575c13"/>
    <w:pPr>
      <w:keepNext w:val="true"/>
      <w:keepLines/>
      <w:spacing w:before="0" w:after="0"/>
      <w:outlineLvl w:val="8"/>
    </w:pPr>
    <w:rPr>
      <w:rFonts w:ascii="Calibri" w:hAnsi="Calibri"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575c13"/>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semiHidden/>
    <w:qFormat/>
    <w:rsid w:val="00575c13"/>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link w:val="Heading3"/>
    <w:uiPriority w:val="9"/>
    <w:semiHidden/>
    <w:qFormat/>
    <w:rsid w:val="00575c13"/>
    <w:rPr>
      <w:rFonts w:ascii="Calibri" w:hAnsi="Calibri" w:eastAsia="" w:cs="" w:asciiTheme="minorHAnsi" w:cstheme="majorBidi" w:eastAsiaTheme="majorEastAsia" w:hAnsiTheme="minorHAnsi"/>
      <w:color w:themeColor="accent1" w:themeShade="bf" w:val="2F5496"/>
      <w:sz w:val="28"/>
      <w:szCs w:val="28"/>
    </w:rPr>
  </w:style>
  <w:style w:type="character" w:styleId="Heading4Char" w:customStyle="1">
    <w:name w:val="Heading 4 Char"/>
    <w:basedOn w:val="DefaultParagraphFont"/>
    <w:link w:val="Heading4"/>
    <w:uiPriority w:val="9"/>
    <w:semiHidden/>
    <w:qFormat/>
    <w:rsid w:val="00575c13"/>
    <w:rPr>
      <w:rFonts w:ascii="Calibri" w:hAnsi="Calibri" w:eastAsia="" w:cs="" w:asciiTheme="minorHAnsi" w:cstheme="majorBidi" w:eastAsiaTheme="majorEastAsia" w:hAnsiTheme="minorHAnsi"/>
      <w:i/>
      <w:iCs/>
      <w:color w:themeColor="accent1" w:themeShade="bf" w:val="2F5496"/>
    </w:rPr>
  </w:style>
  <w:style w:type="character" w:styleId="Heading5Char" w:customStyle="1">
    <w:name w:val="Heading 5 Char"/>
    <w:basedOn w:val="DefaultParagraphFont"/>
    <w:link w:val="Heading5"/>
    <w:uiPriority w:val="9"/>
    <w:semiHidden/>
    <w:qFormat/>
    <w:rsid w:val="00575c13"/>
    <w:rPr>
      <w:rFonts w:ascii="Calibri" w:hAnsi="Calibri" w:eastAsia="" w:cs="" w:asciiTheme="minorHAnsi" w:cstheme="majorBidi" w:eastAsiaTheme="majorEastAsia" w:hAnsiTheme="minorHAnsi"/>
      <w:color w:themeColor="accent1" w:themeShade="bf" w:val="2F5496"/>
    </w:rPr>
  </w:style>
  <w:style w:type="character" w:styleId="Heading6Char" w:customStyle="1">
    <w:name w:val="Heading 6 Char"/>
    <w:basedOn w:val="DefaultParagraphFont"/>
    <w:link w:val="Heading6"/>
    <w:uiPriority w:val="9"/>
    <w:semiHidden/>
    <w:qFormat/>
    <w:rsid w:val="00575c13"/>
    <w:rPr>
      <w:rFonts w:ascii="Calibri" w:hAnsi="Calibri" w:eastAsia="" w:cs="" w:asciiTheme="minorHAnsi" w:cstheme="majorBidi" w:eastAsiaTheme="majorEastAsia" w:hAnsiTheme="minorHAnsi"/>
      <w:i/>
      <w:iCs/>
      <w:color w:themeColor="text1" w:themeTint="a6" w:val="595959"/>
    </w:rPr>
  </w:style>
  <w:style w:type="character" w:styleId="Heading7Char" w:customStyle="1">
    <w:name w:val="Heading 7 Char"/>
    <w:basedOn w:val="DefaultParagraphFont"/>
    <w:link w:val="Heading7"/>
    <w:uiPriority w:val="9"/>
    <w:semiHidden/>
    <w:qFormat/>
    <w:rsid w:val="00575c13"/>
    <w:rPr>
      <w:rFonts w:ascii="Calibri" w:hAnsi="Calibri" w:eastAsia="" w:cs="" w:asciiTheme="minorHAnsi" w:cstheme="majorBidi" w:eastAsiaTheme="majorEastAsia" w:hAnsiTheme="minorHAnsi"/>
      <w:color w:themeColor="text1" w:themeTint="a6" w:val="595959"/>
    </w:rPr>
  </w:style>
  <w:style w:type="character" w:styleId="Heading8Char" w:customStyle="1">
    <w:name w:val="Heading 8 Char"/>
    <w:basedOn w:val="DefaultParagraphFont"/>
    <w:link w:val="Heading8"/>
    <w:uiPriority w:val="9"/>
    <w:semiHidden/>
    <w:qFormat/>
    <w:rsid w:val="00575c13"/>
    <w:rPr>
      <w:rFonts w:ascii="Calibri" w:hAnsi="Calibri" w:eastAsia="" w:cs="" w:asciiTheme="minorHAnsi" w:cstheme="majorBidi" w:eastAsiaTheme="majorEastAsia" w:hAnsiTheme="minorHAnsi"/>
      <w:i/>
      <w:iCs/>
      <w:color w:themeColor="text1" w:themeTint="d8" w:val="272727"/>
    </w:rPr>
  </w:style>
  <w:style w:type="character" w:styleId="Heading9Char" w:customStyle="1">
    <w:name w:val="Heading 9 Char"/>
    <w:basedOn w:val="DefaultParagraphFont"/>
    <w:link w:val="Heading9"/>
    <w:uiPriority w:val="9"/>
    <w:semiHidden/>
    <w:qFormat/>
    <w:rsid w:val="00575c13"/>
    <w:rPr>
      <w:rFonts w:ascii="Calibri" w:hAnsi="Calibri" w:eastAsia="" w:cs="" w:asciiTheme="minorHAnsi" w:cstheme="majorBidi" w:eastAsiaTheme="majorEastAsia" w:hAnsiTheme="minorHAnsi"/>
      <w:color w:themeColor="text1" w:themeTint="d8" w:val="272727"/>
    </w:rPr>
  </w:style>
  <w:style w:type="character" w:styleId="TitleChar" w:customStyle="1">
    <w:name w:val="Title Char"/>
    <w:basedOn w:val="DefaultParagraphFont"/>
    <w:link w:val="Title"/>
    <w:uiPriority w:val="10"/>
    <w:qFormat/>
    <w:rsid w:val="00575c13"/>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575c13"/>
    <w:rPr>
      <w:rFonts w:ascii="Calibri" w:hAnsi="Calibri" w:eastAsia="" w:cs="" w:asciiTheme="minorHAnsi" w:cstheme="majorBidi" w:eastAsiaTheme="majorEastAsia" w:hAnsiTheme="minorHAnsi"/>
      <w:color w:themeColor="text1" w:themeTint="a6" w:val="595959"/>
      <w:spacing w:val="15"/>
      <w:sz w:val="28"/>
      <w:szCs w:val="28"/>
    </w:rPr>
  </w:style>
  <w:style w:type="character" w:styleId="QuoteChar" w:customStyle="1">
    <w:name w:val="Quote Char"/>
    <w:basedOn w:val="DefaultParagraphFont"/>
    <w:link w:val="Quote"/>
    <w:uiPriority w:val="29"/>
    <w:qFormat/>
    <w:rsid w:val="00575c13"/>
    <w:rPr>
      <w:i/>
      <w:iCs/>
      <w:color w:themeColor="text1" w:themeTint="bf" w:val="404040"/>
    </w:rPr>
  </w:style>
  <w:style w:type="character" w:styleId="IntenseEmphasis">
    <w:name w:val="Intense Emphasis"/>
    <w:basedOn w:val="DefaultParagraphFont"/>
    <w:uiPriority w:val="21"/>
    <w:qFormat/>
    <w:rsid w:val="00575c13"/>
    <w:rPr>
      <w:i/>
      <w:iCs/>
      <w:color w:themeColor="accent1" w:themeShade="bf" w:val="2F5496"/>
    </w:rPr>
  </w:style>
  <w:style w:type="character" w:styleId="IntenseQuoteChar" w:customStyle="1">
    <w:name w:val="Intense Quote Char"/>
    <w:basedOn w:val="DefaultParagraphFont"/>
    <w:link w:val="IntenseQuote"/>
    <w:uiPriority w:val="30"/>
    <w:qFormat/>
    <w:rsid w:val="00575c13"/>
    <w:rPr>
      <w:i/>
      <w:iCs/>
      <w:color w:themeColor="accent1" w:themeShade="bf" w:val="2F5496"/>
    </w:rPr>
  </w:style>
  <w:style w:type="character" w:styleId="IntenseReference">
    <w:name w:val="Intense Reference"/>
    <w:basedOn w:val="DefaultParagraphFont"/>
    <w:uiPriority w:val="32"/>
    <w:qFormat/>
    <w:rsid w:val="00575c13"/>
    <w:rPr>
      <w:b/>
      <w:bCs/>
      <w:smallCaps/>
      <w:color w:themeColor="accent1" w:themeShade="bf" w:val="2F5496"/>
      <w:spacing w:val="5"/>
    </w:rPr>
  </w:style>
  <w:style w:type="character" w:styleId="Hyperlink">
    <w:name w:val="Hyperlink"/>
    <w:basedOn w:val="DefaultParagraphFont"/>
    <w:uiPriority w:val="99"/>
    <w:semiHidden/>
    <w:unhideWhenUsed/>
    <w:rsid w:val="00575c13"/>
    <w:rPr>
      <w:color w:val="0563C1"/>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575c13"/>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575c13"/>
    <w:pPr>
      <w:spacing w:before="0" w:after="160"/>
    </w:pPr>
    <w:rPr>
      <w:rFonts w:ascii="Calibri" w:hAnsi="Calibri"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QuoteChar"/>
    <w:uiPriority w:val="29"/>
    <w:qFormat/>
    <w:rsid w:val="00575c13"/>
    <w:pPr>
      <w:spacing w:before="160" w:after="160"/>
      <w:jc w:val="center"/>
    </w:pPr>
    <w:rPr>
      <w:i/>
      <w:iCs/>
      <w:color w:themeColor="text1" w:themeTint="bf" w:val="404040"/>
    </w:rPr>
  </w:style>
  <w:style w:type="paragraph" w:styleId="ListParagraph">
    <w:name w:val="List Paragraph"/>
    <w:basedOn w:val="Normal"/>
    <w:uiPriority w:val="34"/>
    <w:qFormat/>
    <w:rsid w:val="00575c13"/>
    <w:pPr>
      <w:spacing w:before="0" w:after="120"/>
      <w:ind w:start="720"/>
      <w:contextualSpacing/>
    </w:pPr>
    <w:rPr/>
  </w:style>
  <w:style w:type="paragraph" w:styleId="IntenseQuote">
    <w:name w:val="Intense Quote"/>
    <w:basedOn w:val="Normal"/>
    <w:next w:val="Normal"/>
    <w:link w:val="IntenseQuoteChar"/>
    <w:uiPriority w:val="30"/>
    <w:qFormat/>
    <w:rsid w:val="00575c13"/>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LibreOffice/26.2.4.2$Windows_X86_64 LibreOffice_project/0229ac93fcf0d7cbc6376066c6f35021cef002dc</Application>
  <AppVersion>15.0000</AppVersion>
  <Pages>9</Pages>
  <Words>2853</Words>
  <Characters>11187</Characters>
  <CharactersWithSpaces>13820</CharactersWithSpaces>
  <Paragraphs>220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2026-06-24T09:35:00Z</dcterms:created>
  <dc:creator>Kim Anh Hoàng</dc:creator>
  <dc:description/>
  <dc:language>en-US</dc:language>
  <cp:lastModifiedBy/>
  <dcterms:modified xsi:type="dcterms:W3CDTF">2026-07-01T10:46:28Z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