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893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2693"/>
        <w:gridCol w:w="6238"/>
      </w:tblGrid>
      <w:tr>
        <w:trPr>
          <w:trHeight w:val="1288" w:hRule="atLeast"/>
        </w:trPr>
        <w:tc>
          <w:tcPr>
            <w:tcW w:w="2693" w:type="dxa"/>
            <w:tcBorders/>
          </w:tcPr>
          <w:p>
            <w:pPr>
              <w:pStyle w:val="Normal"/>
              <w:shd w:val="clear" w:color="auto" w:fill="FFFFFF" w:themeFill="background1"/>
              <w:jc w:val="center"/>
              <w:rPr>
                <w:rFonts w:ascii="Times New Roman" w:hAnsi="Times New Roman" w:cs="Times New Roman"/>
                <w:b/>
                <w:bCs/>
                <w:color w:themeColor="text1" w:val="000000"/>
                <w:sz w:val="26"/>
                <w:vertAlign w:val="superscript"/>
              </w:rPr>
            </w:pPr>
            <w:r>
              <w:rPr>
                <w:rFonts w:cs="Times New Roman"/>
                <w:b/>
                <w:bCs/>
                <w:color w:themeColor="text1" w:val="000000"/>
                <w:sz w:val="26"/>
              </w:rPr>
              <w:t>CHÍNH PHỦ</w:t>
            </w:r>
            <w:r>
              <w:rPr>
                <w:rFonts w:cs="Times New Roman"/>
                <w:b/>
                <w:bCs/>
                <w:color w:themeColor="text1" w:val="000000"/>
                <w:sz w:val="26"/>
                <w:lang w:val="vi-VN"/>
              </w:rPr>
              <w:br/>
            </w:r>
            <w:r>
              <w:rPr>
                <w:rFonts w:cs="Times New Roman"/>
                <w:b/>
                <w:bCs/>
                <w:color w:themeColor="text1" w:val="000000"/>
                <w:sz w:val="26"/>
                <w:vertAlign w:val="superscript"/>
              </w:rPr>
              <w:t>_________</w:t>
            </w:r>
          </w:p>
          <w:p>
            <w:pPr>
              <w:pStyle w:val="Normal"/>
              <w:shd w:val="clear" w:color="auto" w:fill="FFFFFF" w:themeFill="background1"/>
              <w:jc w:val="center"/>
              <w:rPr>
                <w:rFonts w:ascii="Times New Roman" w:hAnsi="Times New Roman" w:cs="Times New Roman"/>
                <w:color w:themeColor="text1" w:val="000000"/>
                <w:sz w:val="34"/>
                <w:lang w:val="vi-VN"/>
              </w:rPr>
            </w:pPr>
            <w:r>
              <w:rPr>
                <w:rFonts w:cs="Times New Roman"/>
                <w:color w:themeColor="text1" w:val="000000"/>
                <w:sz w:val="34"/>
                <w:lang w:val="vi-VN"/>
              </w:rPr>
            </w:r>
          </w:p>
          <w:p>
            <w:pPr>
              <w:pStyle w:val="Normal"/>
              <w:shd w:val="clear" w:color="auto" w:fill="FFFFFF" w:themeFill="background1"/>
              <w:jc w:val="center"/>
              <w:rPr>
                <w:rFonts w:ascii="Times New Roman" w:hAnsi="Times New Roman" w:cs="Times New Roman"/>
                <w:b/>
                <w:bCs/>
                <w:color w:themeColor="text1" w:val="000000"/>
                <w:sz w:val="26"/>
                <w:vertAlign w:val="superscript"/>
              </w:rPr>
            </w:pPr>
            <w:r>
              <mc:AlternateContent>
                <mc:Choice Requires="wps">
                  <w:drawing>
                    <wp:anchor distT="0" distB="17145" distL="0" distR="14605" simplePos="0" relativeHeight="2" behindDoc="0" locked="0" layoutInCell="1" allowOverlap="1" wp14:anchorId="639679F4">
                      <wp:simplePos x="0" y="0"/>
                      <wp:positionH relativeFrom="column">
                        <wp:posOffset>-245110</wp:posOffset>
                      </wp:positionH>
                      <wp:positionV relativeFrom="paragraph">
                        <wp:posOffset>243840</wp:posOffset>
                      </wp:positionV>
                      <wp:extent cx="1757045" cy="440690"/>
                      <wp:effectExtent l="3810" t="3175" r="2540" b="3175"/>
                      <wp:wrapNone/>
                      <wp:docPr id="1" name="Text Box 13"/>
                      <a:graphic xmlns:a="http://schemas.openxmlformats.org/drawingml/2006/main">
                        <a:graphicData uri="http://schemas.microsoft.com/office/word/2010/wordprocessingShape">
                          <wps:wsp>
                            <wps:cNvSpPr/>
                            <wps:spPr>
                              <a:xfrm>
                                <a:off x="0" y="0"/>
                                <a:ext cx="1757160" cy="440640"/>
                              </a:xfrm>
                              <a:prstGeom prst="rect">
                                <a:avLst/>
                              </a:prstGeom>
                              <a:solidFill>
                                <a:schemeClr val="lt1"/>
                              </a:solidFill>
                              <a:ln w="6350">
                                <a:solidFill>
                                  <a:srgbClr val="000000"/>
                                </a:solidFill>
                                <a:round/>
                              </a:ln>
                            </wps:spPr>
                            <wps:style>
                              <a:lnRef idx="0"/>
                              <a:fillRef idx="0"/>
                              <a:effectRef idx="0"/>
                              <a:fontRef idx="minor"/>
                            </wps:style>
                            <wps:txbx>
                              <w:txbxContent>
                                <w:p>
                                  <w:pPr>
                                    <w:pStyle w:val="FrameContents"/>
                                    <w:jc w:val="center"/>
                                    <w:rPr>
                                      <w:b/>
                                    </w:rPr>
                                  </w:pPr>
                                  <w:r>
                                    <w:rPr>
                                      <w:b/>
                                    </w:rPr>
                                    <w:t>Dự</w:t>
                                  </w:r>
                                  <w:r>
                                    <w:rPr>
                                      <w:b/>
                                      <w:lang w:val="vi-VN"/>
                                    </w:rPr>
                                    <w:t xml:space="preserve"> thảo</w:t>
                                  </w:r>
                                  <w:r>
                                    <w:rPr>
                                      <w:b/>
                                    </w:rPr>
                                    <w:t xml:space="preserve"> </w:t>
                                  </w:r>
                                  <w:r>
                                    <w:rPr>
                                      <w:b/>
                                      <w:lang w:val="vi-VN"/>
                                    </w:rPr>
                                    <w:t>2</w:t>
                                  </w:r>
                                </w:p>
                                <w:p>
                                  <w:pPr>
                                    <w:pStyle w:val="FrameContents"/>
                                    <w:jc w:val="center"/>
                                    <w:rPr>
                                      <w:b/>
                                      <w:lang w:val="vi-VN"/>
                                    </w:rPr>
                                  </w:pPr>
                                  <w:r>
                                    <w:rPr>
                                      <w:b/>
                                      <w:lang w:val="vi-VN"/>
                                    </w:rPr>
                                    <w:t xml:space="preserve">Ngày </w:t>
                                  </w:r>
                                  <w:r>
                                    <w:rPr>
                                      <w:b/>
                                    </w:rPr>
                                    <w:t>0</w:t>
                                  </w:r>
                                  <w:r>
                                    <w:rPr>
                                      <w:b/>
                                      <w:lang w:val="vi-VN"/>
                                    </w:rPr>
                                    <w:t>3/9/2026</w:t>
                                  </w:r>
                                </w:p>
                              </w:txbxContent>
                            </wps:txbx>
                            <wps:bodyPr anchor="t">
                              <a:prstTxWarp prst="textNoShape"/>
                              <a:noAutofit/>
                            </wps:bodyPr>
                          </wps:wsp>
                        </a:graphicData>
                      </a:graphic>
                    </wp:anchor>
                  </w:drawing>
                </mc:Choice>
                <mc:Fallback>
                  <w:pict>
                    <v:rect id="shape_0" fillcolor="white" stroked="t" o:allowincell="t" style="position:absolute;margin-left:-19.3pt;margin-top:19.2pt;width:138.3pt;height:34.65pt;mso-wrap-style:square;v-text-anchor:top" wp14:anchorId="639679F4">
                      <v:fill o:detectmouseclick="t" type="solid" color2="black"/>
                      <v:stroke color="black" weight="6480" joinstyle="round" endcap="flat"/>
                      <v:textbox>
                        <w:txbxContent>
                          <w:p>
                            <w:pPr>
                              <w:pStyle w:val="FrameContents"/>
                              <w:jc w:val="center"/>
                              <w:rPr>
                                <w:b/>
                              </w:rPr>
                            </w:pPr>
                            <w:r>
                              <w:rPr>
                                <w:b/>
                              </w:rPr>
                              <w:t>Dự</w:t>
                            </w:r>
                            <w:r>
                              <w:rPr>
                                <w:b/>
                                <w:lang w:val="vi-VN"/>
                              </w:rPr>
                              <w:t xml:space="preserve"> thảo</w:t>
                            </w:r>
                            <w:r>
                              <w:rPr>
                                <w:b/>
                              </w:rPr>
                              <w:t xml:space="preserve"> </w:t>
                            </w:r>
                            <w:r>
                              <w:rPr>
                                <w:b/>
                                <w:lang w:val="vi-VN"/>
                              </w:rPr>
                              <w:t>2</w:t>
                            </w:r>
                          </w:p>
                          <w:p>
                            <w:pPr>
                              <w:pStyle w:val="FrameContents"/>
                              <w:jc w:val="center"/>
                              <w:rPr>
                                <w:b/>
                                <w:lang w:val="vi-VN"/>
                              </w:rPr>
                            </w:pPr>
                            <w:r>
                              <w:rPr>
                                <w:b/>
                                <w:lang w:val="vi-VN"/>
                              </w:rPr>
                              <w:t xml:space="preserve">Ngày </w:t>
                            </w:r>
                            <w:r>
                              <w:rPr>
                                <w:b/>
                              </w:rPr>
                              <w:t>0</w:t>
                            </w:r>
                            <w:r>
                              <w:rPr>
                                <w:b/>
                                <w:lang w:val="vi-VN"/>
                              </w:rPr>
                              <w:t>3/9/2026</w:t>
                            </w:r>
                          </w:p>
                        </w:txbxContent>
                      </v:textbox>
                      <w10:wrap type="none"/>
                    </v:rect>
                  </w:pict>
                </mc:Fallback>
              </mc:AlternateContent>
            </w:r>
            <w:r>
              <w:rPr>
                <w:rFonts w:cs="Times New Roman"/>
                <w:color w:themeColor="text1" w:val="000000"/>
                <w:sz w:val="26"/>
                <w:lang w:val="vi-VN"/>
              </w:rPr>
              <w:t>Số:      /2</w:t>
            </w:r>
            <w:r>
              <w:rPr>
                <w:rFonts w:cs="Times New Roman"/>
                <w:color w:themeColor="text1" w:val="000000"/>
                <w:sz w:val="26"/>
              </w:rPr>
              <w:t>02</w:t>
            </w:r>
            <w:r>
              <w:rPr>
                <w:rFonts w:cs="Times New Roman"/>
                <w:color w:themeColor="text1" w:val="000000"/>
                <w:sz w:val="26"/>
                <w:lang w:val="vi-VN"/>
              </w:rPr>
              <w:t>…/N</w:t>
            </w:r>
            <w:r>
              <w:rPr>
                <w:rFonts w:cs="Times New Roman"/>
                <w:color w:themeColor="text1" w:val="000000"/>
                <w:sz w:val="26"/>
              </w:rPr>
              <w:t>Q-CP</w:t>
            </w:r>
          </w:p>
        </w:tc>
        <w:tc>
          <w:tcPr>
            <w:tcW w:w="6238" w:type="dxa"/>
            <w:tcBorders/>
          </w:tcPr>
          <w:p>
            <w:pPr>
              <w:pStyle w:val="Normal"/>
              <w:shd w:val="clear" w:color="auto" w:fill="FFFFFF" w:themeFill="background1"/>
              <w:jc w:val="center"/>
              <w:rPr>
                <w:rFonts w:ascii="Times New Roman" w:hAnsi="Times New Roman" w:cs="Times New Roman"/>
                <w:color w:themeColor="text1" w:val="000000"/>
                <w:sz w:val="28"/>
                <w:vertAlign w:val="superscript"/>
              </w:rPr>
            </w:pPr>
            <w:r>
              <w:rPr>
                <w:rFonts w:cs="Times New Roman"/>
                <w:b/>
                <w:bCs/>
                <w:color w:themeColor="text1" w:val="000000"/>
                <w:sz w:val="28"/>
                <w:lang w:val="vi-VN"/>
              </w:rPr>
              <w:t>CỘNG HÒA XÃ HỘI CHỦ NGHĨA VIỆT NAM</w:t>
              <w:br/>
              <w:t xml:space="preserve">Độc lập - Tự do - Hạnh phúc </w:t>
              <w:br/>
            </w:r>
            <w:r>
              <w:rPr>
                <w:rFonts w:cs="Times New Roman"/>
                <w:color w:themeColor="text1" w:val="000000"/>
                <w:sz w:val="28"/>
                <w:vertAlign w:val="superscript"/>
              </w:rPr>
              <w:t>________________________________________</w:t>
            </w:r>
          </w:p>
          <w:p>
            <w:pPr>
              <w:pStyle w:val="Normal"/>
              <w:shd w:val="clear" w:color="auto" w:fill="FFFFFF" w:themeFill="background1"/>
              <w:jc w:val="center"/>
              <w:rPr>
                <w:rFonts w:ascii="Times New Roman" w:hAnsi="Times New Roman" w:cs="Times New Roman"/>
                <w:color w:themeColor="text1" w:val="000000"/>
                <w:sz w:val="28"/>
                <w:lang w:val="vi-VN"/>
              </w:rPr>
            </w:pPr>
            <w:r>
              <w:rPr>
                <w:rFonts w:cs="Times New Roman"/>
                <w:i/>
                <w:iCs/>
                <w:color w:themeColor="text1" w:val="000000"/>
                <w:sz w:val="28"/>
              </w:rPr>
              <w:t xml:space="preserve">Hà Nội, ngày  </w:t>
            </w:r>
            <w:r>
              <w:rPr>
                <w:rFonts w:cs="Times New Roman"/>
                <w:i/>
                <w:iCs/>
                <w:color w:themeColor="text1" w:val="000000"/>
                <w:sz w:val="28"/>
                <w:lang w:val="vi-VN"/>
              </w:rPr>
              <w:t xml:space="preserve"> </w:t>
            </w:r>
            <w:r>
              <w:rPr>
                <w:rFonts w:cs="Times New Roman"/>
                <w:i/>
                <w:iCs/>
                <w:color w:themeColor="text1" w:val="000000"/>
                <w:sz w:val="28"/>
              </w:rPr>
              <w:t xml:space="preserve"> </w:t>
            </w:r>
            <w:r>
              <w:rPr>
                <w:rFonts w:cs="Times New Roman"/>
                <w:i/>
                <w:iCs/>
                <w:color w:themeColor="text1" w:val="000000"/>
                <w:sz w:val="28"/>
                <w:lang w:val="vi-VN"/>
              </w:rPr>
              <w:t xml:space="preserve">   </w:t>
            </w:r>
            <w:r>
              <w:rPr>
                <w:rFonts w:cs="Times New Roman"/>
                <w:i/>
                <w:iCs/>
                <w:color w:themeColor="text1" w:val="000000"/>
                <w:sz w:val="28"/>
              </w:rPr>
              <w:t>tháng</w:t>
            </w:r>
            <w:r>
              <w:rPr>
                <w:rFonts w:cs="Times New Roman"/>
                <w:i/>
                <w:iCs/>
                <w:color w:themeColor="text1" w:val="000000"/>
                <w:sz w:val="28"/>
                <w:lang w:val="vi-VN"/>
              </w:rPr>
              <w:t xml:space="preserve">  </w:t>
            </w:r>
            <w:r>
              <w:rPr>
                <w:rFonts w:cs="Times New Roman"/>
                <w:i/>
                <w:iCs/>
                <w:color w:themeColor="text1" w:val="000000"/>
                <w:sz w:val="28"/>
              </w:rPr>
              <w:t xml:space="preserve">  </w:t>
            </w:r>
            <w:r>
              <w:rPr>
                <w:rFonts w:cs="Times New Roman"/>
                <w:i/>
                <w:iCs/>
                <w:color w:themeColor="text1" w:val="000000"/>
                <w:sz w:val="28"/>
                <w:lang w:val="vi-VN"/>
              </w:rPr>
              <w:t xml:space="preserve"> </w:t>
            </w:r>
            <w:r>
              <w:rPr>
                <w:rFonts w:cs="Times New Roman"/>
                <w:i/>
                <w:iCs/>
                <w:color w:themeColor="text1" w:val="000000"/>
                <w:sz w:val="28"/>
              </w:rPr>
              <w:t xml:space="preserve"> năm 2</w:t>
            </w:r>
            <w:r>
              <w:rPr>
                <w:rFonts w:cs="Times New Roman"/>
                <w:i/>
                <w:iCs/>
                <w:color w:themeColor="text1" w:val="000000"/>
                <w:sz w:val="28"/>
                <w:lang w:val="vi-VN"/>
              </w:rPr>
              <w:t>027</w:t>
            </w:r>
          </w:p>
        </w:tc>
      </w:tr>
    </w:tbl>
    <w:p>
      <w:pPr>
        <w:pStyle w:val="Heading2"/>
        <w:shd w:val="clear" w:color="auto" w:fill="FFFFFF" w:themeFill="background1"/>
        <w:spacing w:lineRule="auto" w:line="240" w:before="0" w:after="0"/>
        <w:contextualSpacing/>
        <w:jc w:val="center"/>
        <w:rPr>
          <w:rFonts w:ascii="Times New Roman" w:hAnsi="Times New Roman" w:eastAsia="Times New Roman" w:cs="Times New Roman"/>
          <w:b w:val="false"/>
          <w:color w:themeColor="text1" w:val="000000"/>
          <w:sz w:val="38"/>
          <w:szCs w:val="28"/>
          <w:lang w:eastAsia="en-AU"/>
        </w:rPr>
      </w:pPr>
      <w:r>
        <w:rPr>
          <w:rFonts w:eastAsia="Times New Roman" w:cs="Times New Roman" w:ascii="Times New Roman" w:hAnsi="Times New Roman"/>
          <w:b w:val="false"/>
          <w:color w:themeColor="text1" w:val="000000"/>
          <w:sz w:val="38"/>
          <w:szCs w:val="28"/>
          <w:lang w:eastAsia="en-AU"/>
        </w:rPr>
      </w:r>
    </w:p>
    <w:p>
      <w:pPr>
        <w:pStyle w:val="Heading2"/>
        <w:shd w:val="clear" w:color="auto" w:fill="FFFFFF" w:themeFill="background1"/>
        <w:spacing w:lineRule="auto" w:line="240" w:before="0" w:after="120"/>
        <w:contextualSpacing w:val="false"/>
        <w:jc w:val="center"/>
        <w:rPr>
          <w:rFonts w:ascii="Times New Roman" w:hAnsi="Times New Roman" w:eastAsia="Times New Roman" w:cs="Times New Roman"/>
          <w:bCs/>
          <w:color w:themeColor="text1" w:val="000000"/>
          <w:sz w:val="28"/>
          <w:szCs w:val="28"/>
          <w:lang w:val="vi-VN" w:eastAsia="en-AU"/>
        </w:rPr>
      </w:pPr>
      <w:r>
        <w:rPr>
          <w:rFonts w:eastAsia="Times New Roman" w:cs="Times New Roman" w:ascii="Times New Roman" w:hAnsi="Times New Roman"/>
          <w:bCs/>
          <w:color w:themeColor="text1" w:val="000000"/>
          <w:sz w:val="28"/>
          <w:szCs w:val="28"/>
          <w:lang w:val="vi-VN" w:eastAsia="en-AU"/>
        </w:rPr>
      </w:r>
    </w:p>
    <w:p>
      <w:pPr>
        <w:pStyle w:val="Heading2"/>
        <w:shd w:val="clear" w:color="auto" w:fill="FFFFFF" w:themeFill="background1"/>
        <w:spacing w:lineRule="auto" w:line="240" w:before="0" w:after="120"/>
        <w:contextualSpacing w:val="false"/>
        <w:jc w:val="center"/>
        <w:rPr>
          <w:rFonts w:ascii="Times New Roman" w:hAnsi="Times New Roman" w:eastAsia="Times New Roman" w:cs="Times New Roman"/>
          <w:bCs/>
          <w:color w:themeColor="text1" w:val="000000"/>
          <w:sz w:val="28"/>
          <w:szCs w:val="28"/>
          <w:lang w:eastAsia="en-AU"/>
        </w:rPr>
      </w:pPr>
      <w:r>
        <w:rPr>
          <w:rFonts w:eastAsia="Times New Roman" w:cs="Times New Roman" w:ascii="Times New Roman" w:hAnsi="Times New Roman"/>
          <w:bCs/>
          <w:color w:themeColor="text1" w:val="000000"/>
          <w:sz w:val="28"/>
          <w:szCs w:val="28"/>
          <w:lang w:eastAsia="en-AU"/>
        </w:rPr>
        <w:t>NGHỊ ĐỊNH</w:t>
      </w:r>
    </w:p>
    <w:p>
      <w:pPr>
        <w:pStyle w:val="Normal"/>
        <w:jc w:val="center"/>
        <w:rPr>
          <w:rFonts w:ascii="Times New Roman" w:hAnsi="Times New Roman" w:eastAsia="Times New Roman" w:cs="Times New Roman"/>
          <w:b/>
          <w:bCs/>
          <w:color w:themeColor="text1" w:val="000000"/>
          <w:spacing w:val="-4"/>
          <w:sz w:val="28"/>
          <w:szCs w:val="28"/>
          <w:lang w:eastAsia="en-AU"/>
        </w:rPr>
      </w:pPr>
      <w:r>
        <w:rPr>
          <w:rFonts w:eastAsia="Times New Roman" w:cs="Times New Roman"/>
          <w:b/>
          <w:bCs/>
          <w:color w:themeColor="text1" w:val="000000"/>
          <w:spacing w:val="-4"/>
          <w:sz w:val="28"/>
          <w:szCs w:val="28"/>
          <w:lang w:eastAsia="en-AU"/>
        </w:rPr>
        <w:t xml:space="preserve">Quy định về tăng mức hưởng và phạm vi hưởng </w:t>
      </w:r>
    </w:p>
    <w:p>
      <w:pPr>
        <w:pStyle w:val="Normal"/>
        <w:jc w:val="center"/>
        <w:rPr>
          <w:rFonts w:ascii="Times New Roman" w:hAnsi="Times New Roman" w:eastAsia="Times New Roman" w:cs="Times New Roman"/>
          <w:b/>
          <w:bCs/>
          <w:color w:themeColor="text1" w:val="000000"/>
          <w:spacing w:val="-4"/>
          <w:sz w:val="28"/>
          <w:szCs w:val="28"/>
          <w:lang w:eastAsia="en-AU"/>
        </w:rPr>
      </w:pPr>
      <w:r>
        <w:rPr>
          <w:rFonts w:eastAsia="Times New Roman" w:cs="Times New Roman"/>
          <w:b/>
          <w:bCs/>
          <w:color w:themeColor="text1" w:val="000000"/>
          <w:spacing w:val="-4"/>
          <w:sz w:val="28"/>
          <w:szCs w:val="28"/>
          <w:lang w:eastAsia="en-AU"/>
        </w:rPr>
        <w:t xml:space="preserve">bảo hiểm y tế theo lộ trình, đối tượng ưu tiên phù hợp với mức đóng </w:t>
      </w:r>
    </w:p>
    <w:p>
      <w:pPr>
        <w:pStyle w:val="Normal"/>
        <w:jc w:val="center"/>
        <w:rPr>
          <w:rFonts w:ascii="Times New Roman" w:hAnsi="Times New Roman" w:eastAsia="Times New Roman" w:cs="Times New Roman"/>
          <w:b/>
          <w:bCs/>
          <w:color w:themeColor="text1" w:val="000000"/>
          <w:spacing w:val="-4"/>
          <w:sz w:val="28"/>
          <w:szCs w:val="28"/>
          <w:lang w:eastAsia="en-AU"/>
        </w:rPr>
      </w:pPr>
      <w:r>
        <w:rPr>
          <w:rFonts w:eastAsia="Times New Roman" w:cs="Times New Roman"/>
          <w:b/>
          <w:bCs/>
          <w:color w:themeColor="text1" w:val="000000"/>
          <w:spacing w:val="-4"/>
          <w:sz w:val="28"/>
          <w:szCs w:val="28"/>
          <w:lang w:eastAsia="en-AU"/>
        </w:rPr>
        <w:t>và khả năng cân đối Quỹ bảo hiểm y tế</w:t>
      </w:r>
    </w:p>
    <w:p>
      <w:pPr>
        <w:pStyle w:val="Normal"/>
        <w:jc w:val="center"/>
        <w:rPr>
          <w:rFonts w:ascii="Times New Roman" w:hAnsi="Times New Roman" w:eastAsia="Times New Roman" w:cs="Times New Roman"/>
          <w:b/>
          <w:bCs/>
          <w:color w:themeColor="text1" w:val="000000"/>
          <w:spacing w:val="-4"/>
          <w:sz w:val="28"/>
          <w:szCs w:val="28"/>
          <w:lang w:eastAsia="en-AU"/>
        </w:rPr>
      </w:pPr>
      <w:r>
        <w:rPr>
          <w:rFonts w:eastAsia="Times New Roman" w:cs="Times New Roman"/>
          <w:b/>
          <w:bCs/>
          <w:color w:themeColor="text1" w:val="000000"/>
          <w:spacing w:val="-4"/>
          <w:sz w:val="28"/>
          <w:szCs w:val="28"/>
          <w:lang w:eastAsia="en-AU"/>
        </w:rPr>
        <mc:AlternateContent>
          <mc:Choice Requires="wps">
            <w:drawing>
              <wp:anchor distT="0" distB="19050" distL="0" distR="22860" simplePos="0" relativeHeight="4" behindDoc="0" locked="0" layoutInCell="1" allowOverlap="1" wp14:anchorId="05E44A1A">
                <wp:simplePos x="0" y="0"/>
                <wp:positionH relativeFrom="column">
                  <wp:posOffset>1503045</wp:posOffset>
                </wp:positionH>
                <wp:positionV relativeFrom="paragraph">
                  <wp:posOffset>36195</wp:posOffset>
                </wp:positionV>
                <wp:extent cx="2491740" cy="0"/>
                <wp:effectExtent l="0" t="3810" r="0" b="3810"/>
                <wp:wrapNone/>
                <wp:docPr id="2" name="Straight Connector 1"/>
                <a:graphic xmlns:a="http://schemas.openxmlformats.org/drawingml/2006/main">
                  <a:graphicData uri="http://schemas.microsoft.com/office/word/2010/wordprocessingShape">
                    <wps:wsp>
                      <wps:cNvSpPr/>
                      <wps:spPr>
                        <a:xfrm>
                          <a:off x="0" y="0"/>
                          <a:ext cx="2491920" cy="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18.35pt,2.85pt" to="314.5pt,2.85pt" stroked="t" o:allowincell="f" style="position:absolute" wp14:anchorId="05E44A1A">
                <v:stroke color="black" weight="6480" joinstyle="miter" endcap="flat"/>
                <v:fill o:detectmouseclick="t" on="false"/>
                <w10:wrap type="none"/>
              </v:line>
            </w:pict>
          </mc:Fallback>
        </mc:AlternateContent>
      </w:r>
    </w:p>
    <w:p>
      <w:pPr>
        <w:pStyle w:val="Heading2"/>
        <w:shd w:val="clear" w:color="auto" w:fill="FFFFFF" w:themeFill="background1"/>
        <w:spacing w:lineRule="auto" w:line="240" w:before="120" w:after="120"/>
        <w:ind w:firstLine="567"/>
        <w:contextualSpacing w:val="false"/>
        <w:rPr>
          <w:rFonts w:ascii="Times New Roman" w:hAnsi="Times New Roman" w:cs="Times New Roman"/>
          <w:b w:val="false"/>
          <w:i/>
          <w:iCs/>
          <w:color w:themeColor="text1" w:val="000000"/>
          <w:sz w:val="28"/>
          <w:szCs w:val="28"/>
          <w:lang w:val="fr-FR"/>
        </w:rPr>
      </w:pPr>
      <w:r>
        <w:rPr>
          <w:rFonts w:cs="Times New Roman" w:ascii="Times New Roman" w:hAnsi="Times New Roman"/>
          <w:b w:val="false"/>
          <w:i/>
          <w:iCs/>
          <w:color w:themeColor="text1" w:val="000000"/>
          <w:sz w:val="28"/>
          <w:szCs w:val="28"/>
          <w:lang w:val="fr-FR"/>
        </w:rPr>
        <w:t xml:space="preserve">Căn cứ Luật Tổ chức Chính phủ số 63/2025/QH15; </w:t>
      </w:r>
    </w:p>
    <w:p>
      <w:pPr>
        <w:pStyle w:val="Normal"/>
        <w:spacing w:before="120" w:after="120"/>
        <w:ind w:firstLine="567"/>
        <w:jc w:val="both"/>
        <w:rPr>
          <w:i/>
          <w:spacing w:val="-2"/>
          <w:sz w:val="28"/>
          <w:szCs w:val="28"/>
          <w:lang w:val="fr-FR"/>
        </w:rPr>
      </w:pPr>
      <w:r>
        <w:rPr>
          <w:i/>
          <w:spacing w:val="-2"/>
          <w:sz w:val="28"/>
          <w:szCs w:val="28"/>
          <w:lang w:val="fr-FR"/>
        </w:rPr>
        <w:t>Căn cứ Luật Bảo hiểm y tế số 25/2008/QH12 được sửa đổi, bổ sung bởi Luật số 46/2014/QH13, Luật số 51/2024/QH15 và Luật Phòng bệnh số 114/2025/QH15;</w:t>
      </w:r>
    </w:p>
    <w:p>
      <w:pPr>
        <w:pStyle w:val="Normal"/>
        <w:spacing w:before="120" w:after="120"/>
        <w:jc w:val="both"/>
        <w:rPr>
          <w:i/>
          <w:iCs/>
          <w:color w:themeColor="text1" w:val="000000"/>
          <w:sz w:val="28"/>
          <w:szCs w:val="28"/>
        </w:rPr>
      </w:pPr>
      <w:r>
        <w:rPr>
          <w:sz w:val="28"/>
          <w:szCs w:val="28"/>
          <w:lang w:val="fr-FR"/>
        </w:rPr>
        <w:tab/>
      </w:r>
      <w:r>
        <w:rPr>
          <w:i/>
          <w:iCs/>
          <w:color w:themeColor="text1" w:val="000000"/>
          <w:sz w:val="28"/>
          <w:szCs w:val="28"/>
          <w:lang w:val="vi-VN"/>
        </w:rPr>
        <w:t>Căn cứ Nghị quyết số 261/2025/QH15 của Quốc hội về một số cơ chế, chính sách đặc biệt tạo đột phá cho công tác bảo vệ, chăm sóc và nâng cao sức khỏe nhân dân</w:t>
      </w:r>
      <w:r>
        <w:rPr>
          <w:i/>
          <w:iCs/>
          <w:color w:themeColor="text1" w:val="000000"/>
          <w:sz w:val="28"/>
          <w:szCs w:val="28"/>
        </w:rPr>
        <w:t>;</w:t>
      </w:r>
    </w:p>
    <w:p>
      <w:pPr>
        <w:pStyle w:val="Normal"/>
        <w:spacing w:before="120" w:after="120"/>
        <w:ind w:firstLine="567"/>
        <w:jc w:val="both"/>
        <w:rPr>
          <w:rFonts w:ascii="Times New Roman" w:hAnsi="Times New Roman" w:cs="Times New Roman"/>
          <w:b/>
          <w:i/>
          <w:color w:themeColor="text1" w:val="000000"/>
          <w:sz w:val="28"/>
          <w:szCs w:val="28"/>
          <w:lang w:val="fr-FR"/>
        </w:rPr>
      </w:pPr>
      <w:r>
        <w:rPr>
          <w:i/>
          <w:iCs/>
          <w:color w:themeColor="text1" w:val="000000"/>
          <w:sz w:val="28"/>
          <w:szCs w:val="28"/>
          <w:lang w:val="vi-VN"/>
        </w:rPr>
        <w:t xml:space="preserve"> </w:t>
      </w:r>
      <w:r>
        <w:rPr>
          <w:rFonts w:cs="Times New Roman"/>
          <w:i/>
          <w:color w:themeColor="text1" w:val="000000"/>
          <w:sz w:val="28"/>
          <w:szCs w:val="28"/>
          <w:lang w:val="fr-FR"/>
        </w:rPr>
        <w:t>Theo đề nghị của Bộ trưởng Bộ Y tế,</w:t>
      </w:r>
    </w:p>
    <w:p>
      <w:pPr>
        <w:pStyle w:val="Normal"/>
        <w:shd w:val="clear" w:color="auto" w:fill="FFFFFF" w:themeFill="background1"/>
        <w:spacing w:before="120" w:after="120"/>
        <w:ind w:firstLine="567"/>
        <w:jc w:val="both"/>
        <w:rPr>
          <w:rFonts w:ascii="Times New Roman" w:hAnsi="Times New Roman" w:cs="Times New Roman"/>
          <w:i/>
          <w:color w:themeColor="text1" w:val="000000"/>
          <w:spacing w:val="-2"/>
          <w:sz w:val="28"/>
          <w:szCs w:val="28"/>
          <w:lang w:val="vi-VN"/>
        </w:rPr>
      </w:pPr>
      <w:r>
        <w:rPr>
          <w:rFonts w:cs="Times New Roman"/>
          <w:i/>
          <w:color w:themeColor="text1" w:val="000000"/>
          <w:spacing w:val="-2"/>
          <w:sz w:val="28"/>
          <w:szCs w:val="28"/>
          <w:lang w:val="fr-FR"/>
        </w:rPr>
        <w:t>Chính phủ ban hành Nghị định quy định về lộ trình tăng mức hưởng và phạm vi hưởng bảo hiểm y tế theo lộ trình, đối tượng ưu tiên phù hợp với mức đóng và khả năng cân đối Quỹ bảo hiểm y tế.</w:t>
      </w:r>
    </w:p>
    <w:p>
      <w:pPr>
        <w:pStyle w:val="Normal"/>
        <w:shd w:val="clear" w:color="auto" w:fill="FFFFFF" w:themeFill="background1"/>
        <w:spacing w:before="120" w:after="120"/>
        <w:jc w:val="center"/>
        <w:rPr>
          <w:rFonts w:ascii="Times New Roman" w:hAnsi="Times New Roman" w:cs="Times New Roman"/>
          <w:b/>
          <w:color w:themeColor="text1" w:val="000000"/>
          <w:sz w:val="28"/>
          <w:szCs w:val="28"/>
          <w:lang w:val="vi-VN"/>
        </w:rPr>
      </w:pPr>
      <w:r>
        <w:rPr>
          <w:rFonts w:cs="Times New Roman"/>
          <w:b/>
          <w:color w:themeColor="text1" w:val="000000"/>
          <w:sz w:val="28"/>
          <w:szCs w:val="28"/>
          <w:lang w:val="vi-VN"/>
        </w:rPr>
        <w:t>Chương I</w:t>
      </w:r>
    </w:p>
    <w:p>
      <w:pPr>
        <w:pStyle w:val="Normal"/>
        <w:shd w:val="clear" w:color="auto" w:fill="FFFFFF" w:themeFill="background1"/>
        <w:spacing w:before="120" w:after="120"/>
        <w:jc w:val="center"/>
        <w:rPr>
          <w:rFonts w:ascii="Times New Roman" w:hAnsi="Times New Roman" w:cs="Times New Roman"/>
          <w:b/>
          <w:color w:themeColor="text1" w:val="000000"/>
          <w:sz w:val="28"/>
          <w:szCs w:val="28"/>
          <w:lang w:val="vi-VN"/>
        </w:rPr>
      </w:pPr>
      <w:r>
        <w:rPr>
          <w:rFonts w:cs="Times New Roman"/>
          <w:b/>
          <w:color w:themeColor="text1" w:val="000000"/>
          <w:sz w:val="28"/>
          <w:szCs w:val="28"/>
          <w:lang w:val="vi-VN"/>
        </w:rPr>
        <w:t>QUY ĐỊNH CHUNG</w:t>
      </w:r>
    </w:p>
    <w:p>
      <w:pPr>
        <w:pStyle w:val="Normal"/>
        <w:shd w:val="clear" w:color="auto" w:fill="FFFFFF" w:themeFill="background1"/>
        <w:spacing w:before="120" w:after="120"/>
        <w:ind w:firstLine="567"/>
        <w:jc w:val="both"/>
        <w:rPr>
          <w:rFonts w:ascii="Times New Roman" w:hAnsi="Times New Roman" w:cs="Times New Roman"/>
          <w:b/>
          <w:color w:themeColor="text1" w:val="000000"/>
          <w:sz w:val="28"/>
          <w:szCs w:val="28"/>
          <w:lang w:val="vi-VN"/>
        </w:rPr>
      </w:pPr>
      <w:r>
        <w:rPr>
          <w:rFonts w:cs="Times New Roman"/>
          <w:b/>
          <w:color w:themeColor="text1" w:val="000000"/>
          <w:sz w:val="28"/>
          <w:szCs w:val="28"/>
          <w:lang w:val="vi-VN"/>
        </w:rPr>
      </w:r>
    </w:p>
    <w:p>
      <w:pPr>
        <w:pStyle w:val="Normal"/>
        <w:shd w:val="clear" w:color="auto" w:fill="FFFFFF" w:themeFill="background1"/>
        <w:spacing w:before="120" w:after="120"/>
        <w:ind w:firstLine="567"/>
        <w:jc w:val="both"/>
        <w:rPr>
          <w:rFonts w:ascii="Times New Roman" w:hAnsi="Times New Roman" w:cs="Times New Roman"/>
          <w:b/>
          <w:color w:themeColor="text1" w:val="000000"/>
          <w:sz w:val="28"/>
          <w:szCs w:val="28"/>
          <w:lang w:val="fr-FR"/>
        </w:rPr>
      </w:pPr>
      <w:r>
        <w:rPr>
          <w:rFonts w:cs="Times New Roman"/>
          <w:b/>
          <w:color w:themeColor="text1" w:val="000000"/>
          <w:sz w:val="28"/>
          <w:szCs w:val="28"/>
          <w:lang w:val="fr-FR"/>
        </w:rPr>
        <w:t>Điều 1. Phạm vi điều chỉnh</w:t>
      </w:r>
    </w:p>
    <w:p>
      <w:pPr>
        <w:pStyle w:val="Normal1"/>
        <w:shd w:val="clear" w:color="auto" w:fill="FFFFFF" w:themeFill="background1"/>
        <w:spacing w:lineRule="auto" w:line="240" w:before="120" w:after="0"/>
        <w:ind w:firstLine="567"/>
        <w:jc w:val="both"/>
        <w:rPr>
          <w:rFonts w:ascii="Times New Roman" w:hAnsi="Times New Roman" w:cs="Times New Roman"/>
          <w:color w:themeColor="text1" w:val="000000"/>
          <w:sz w:val="28"/>
          <w:szCs w:val="28"/>
        </w:rPr>
      </w:pPr>
      <w:bookmarkStart w:id="0" w:name="_Hlk191550521"/>
      <w:r>
        <w:rPr>
          <w:rFonts w:cs="Times New Roman" w:ascii="Times New Roman" w:hAnsi="Times New Roman"/>
          <w:color w:themeColor="text1" w:val="000000"/>
          <w:sz w:val="28"/>
          <w:szCs w:val="28"/>
        </w:rPr>
        <w:t>N</w:t>
      </w:r>
      <w:r>
        <w:rPr>
          <w:rFonts w:cs="Times New Roman" w:ascii="Times New Roman" w:hAnsi="Times New Roman"/>
          <w:color w:themeColor="text1" w:val="000000"/>
          <w:sz w:val="28"/>
          <w:szCs w:val="28"/>
          <w:lang w:val="vi-VN"/>
        </w:rPr>
        <w:t xml:space="preserve">ghị định này quy định </w:t>
      </w:r>
      <w:r>
        <w:rPr>
          <w:rFonts w:cs="Times New Roman" w:ascii="Times New Roman" w:hAnsi="Times New Roman"/>
          <w:color w:themeColor="text1" w:val="000000"/>
          <w:sz w:val="28"/>
          <w:szCs w:val="28"/>
        </w:rPr>
        <w:t xml:space="preserve">về </w:t>
      </w:r>
      <w:r>
        <w:rPr>
          <w:rFonts w:cs="Times New Roman" w:ascii="Times New Roman" w:hAnsi="Times New Roman"/>
          <w:color w:themeColor="text1" w:val="000000"/>
          <w:spacing w:val="-2"/>
          <w:sz w:val="28"/>
          <w:szCs w:val="28"/>
          <w:lang w:val="fr-FR"/>
        </w:rPr>
        <w:t>tăng mức hưởng và phạm vi hưởng bảo hiểm y tế theo lộ trình, đối tượng ưu tiên phù hợp với mức đóng và khả năng cân đối Quỹ bảo hiểm y tế như sau</w:t>
      </w:r>
      <w:r>
        <w:rPr>
          <w:rFonts w:cs="Times New Roman" w:ascii="Times New Roman" w:hAnsi="Times New Roman"/>
          <w:color w:themeColor="text1" w:val="000000"/>
          <w:sz w:val="28"/>
          <w:szCs w:val="28"/>
        </w:rPr>
        <w:t>:</w:t>
      </w:r>
    </w:p>
    <w:p>
      <w:pPr>
        <w:pStyle w:val="Normal1"/>
        <w:shd w:val="clear" w:color="auto" w:fill="FFFFFF" w:themeFill="background1"/>
        <w:spacing w:lineRule="auto" w:line="240" w:before="120" w:after="0"/>
        <w:ind w:firstLine="567"/>
        <w:jc w:val="both"/>
        <w:rPr>
          <w:rFonts w:ascii="Times New Roman" w:hAnsi="Times New Roman" w:cs="Times New Roman"/>
          <w:color w:themeColor="text1" w:val="000000"/>
          <w:sz w:val="28"/>
          <w:szCs w:val="28"/>
          <w:lang w:val="vi-VN"/>
        </w:rPr>
      </w:pPr>
      <w:r>
        <w:rPr>
          <w:rFonts w:cs="Times New Roman" w:ascii="Times New Roman" w:hAnsi="Times New Roman"/>
          <w:color w:themeColor="text1" w:val="000000"/>
          <w:sz w:val="28"/>
          <w:szCs w:val="28"/>
          <w:lang w:val="vi-VN"/>
        </w:rPr>
        <w:t xml:space="preserve">1. </w:t>
      </w:r>
      <w:r>
        <w:rPr>
          <w:rFonts w:cs="Times New Roman" w:ascii="Times New Roman" w:hAnsi="Times New Roman"/>
          <w:color w:themeColor="text1" w:val="000000"/>
          <w:sz w:val="28"/>
          <w:szCs w:val="28"/>
        </w:rPr>
        <w:t>L</w:t>
      </w:r>
      <w:r>
        <w:rPr>
          <w:rFonts w:eastAsia="Times New Roman" w:cs="Times New Roman" w:ascii="Times New Roman" w:hAnsi="Times New Roman"/>
          <w:bCs/>
          <w:color w:themeColor="text1" w:val="000000"/>
          <w:spacing w:val="-4"/>
          <w:sz w:val="28"/>
          <w:szCs w:val="28"/>
          <w:lang w:eastAsia="en-AU"/>
        </w:rPr>
        <w:t>ộ trình tăng mức hưởng trong phạm vi được hưởng bảo hiểm y tế của một số đối tượng ưu tiên</w:t>
      </w:r>
      <w:r>
        <w:rPr>
          <w:rFonts w:eastAsia="Times New Roman" w:cs="Times New Roman" w:ascii="Times New Roman" w:hAnsi="Times New Roman"/>
          <w:bCs/>
          <w:color w:themeColor="text1" w:val="000000"/>
          <w:spacing w:val="-4"/>
          <w:sz w:val="28"/>
          <w:szCs w:val="28"/>
          <w:lang w:val="vi-VN" w:eastAsia="en-AU"/>
        </w:rPr>
        <w:t>.</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rPr>
      </w:pPr>
      <w:r>
        <w:rPr>
          <w:rFonts w:cs="Times New Roman"/>
          <w:color w:themeColor="text1" w:val="000000"/>
          <w:sz w:val="28"/>
          <w:szCs w:val="28"/>
          <w:lang w:val="vi-VN"/>
        </w:rPr>
        <w:t>2.</w:t>
      </w:r>
      <w:r>
        <w:rPr>
          <w:rFonts w:cs="Times New Roman"/>
          <w:color w:themeColor="text1" w:val="000000"/>
          <w:sz w:val="28"/>
          <w:szCs w:val="28"/>
        </w:rPr>
        <w:t xml:space="preserve"> Danh mục bệnh khám sàng lọc, chẩn đoán sớm thuộc phạm vi chi trả của Quỹ bảo hiểm y tế theo lộ trình.</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rPr>
      </w:pPr>
      <w:r>
        <w:rPr>
          <w:rFonts w:cs="Times New Roman"/>
          <w:color w:themeColor="text1" w:val="000000"/>
          <w:sz w:val="28"/>
          <w:szCs w:val="28"/>
        </w:rPr>
        <w:t>3. Lộ trình thực hiện mở rộng phạm vi chi trả của Quỹ bảo hiểm y tế bao gồm: khám sàng lọc, chẩn đoán sớm một số bệnh thuộc danh mục; chi phí điều trị dinh dưỡng; một số dịch vụ phòng bệnh, quản lý bệnh mạn tính, khám sức khỏe định kỳ.</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lang w:val="vi-VN"/>
        </w:rPr>
      </w:pPr>
      <w:r>
        <w:rPr>
          <w:rFonts w:cs="Times New Roman"/>
          <w:color w:themeColor="text1" w:val="000000"/>
          <w:sz w:val="28"/>
          <w:szCs w:val="28"/>
        </w:rPr>
        <w:t>4</w:t>
      </w:r>
      <w:r>
        <w:rPr>
          <w:rFonts w:cs="Times New Roman"/>
          <w:color w:themeColor="text1" w:val="000000"/>
          <w:sz w:val="28"/>
          <w:szCs w:val="28"/>
          <w:lang w:val="vi-VN"/>
        </w:rPr>
        <w:t>.</w:t>
      </w:r>
      <w:r>
        <w:rPr>
          <w:rFonts w:cs="Times New Roman"/>
          <w:color w:themeColor="text1" w:val="000000"/>
          <w:sz w:val="28"/>
          <w:szCs w:val="28"/>
        </w:rPr>
        <w:t xml:space="preserve"> M</w:t>
      </w:r>
      <w:r>
        <w:rPr>
          <w:rFonts w:cs="Times New Roman"/>
          <w:bCs/>
          <w:color w:themeColor="text1" w:val="000000"/>
          <w:sz w:val="28"/>
          <w:szCs w:val="28"/>
          <w:lang w:val="vi-VN"/>
        </w:rPr>
        <w:t>ức đóng</w:t>
      </w:r>
      <w:r>
        <w:rPr>
          <w:rFonts w:cs="Times New Roman"/>
          <w:bCs/>
          <w:color w:themeColor="text1" w:val="000000"/>
          <w:sz w:val="28"/>
          <w:szCs w:val="28"/>
        </w:rPr>
        <w:t xml:space="preserve"> </w:t>
      </w:r>
      <w:r>
        <w:rPr>
          <w:rFonts w:cs="Times New Roman"/>
          <w:bCs/>
          <w:color w:themeColor="text1" w:val="000000"/>
          <w:sz w:val="28"/>
          <w:szCs w:val="28"/>
          <w:lang w:val="vi-VN"/>
        </w:rPr>
        <w:t>bảo hiểm y tế</w:t>
      </w:r>
      <w:r>
        <w:rPr>
          <w:rFonts w:cs="Times New Roman"/>
          <w:bCs/>
          <w:color w:themeColor="text1" w:val="000000"/>
          <w:sz w:val="28"/>
          <w:szCs w:val="28"/>
          <w:lang w:val="fr-FR"/>
        </w:rPr>
        <w:t xml:space="preserve"> </w:t>
      </w:r>
      <w:r>
        <w:rPr>
          <w:rFonts w:cs="Times New Roman"/>
          <w:color w:themeColor="text1" w:val="000000"/>
          <w:sz w:val="28"/>
          <w:szCs w:val="28"/>
          <w:lang w:val="fr-FR"/>
        </w:rPr>
        <w:t>theo lộ trình bảo đảm cân đối Quỹ bảo hiểm y tế</w:t>
      </w:r>
      <w:r>
        <w:rPr>
          <w:rFonts w:cs="Times New Roman"/>
          <w:color w:themeColor="text1" w:val="000000"/>
          <w:sz w:val="28"/>
          <w:szCs w:val="28"/>
          <w:lang w:val="vi-VN"/>
        </w:rPr>
        <w:t>.</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rPr>
      </w:pPr>
      <w:r>
        <w:rPr>
          <w:rFonts w:cs="Times New Roman"/>
          <w:color w:themeColor="text1" w:val="000000"/>
          <w:sz w:val="28"/>
          <w:szCs w:val="28"/>
        </w:rPr>
        <w:t>5. Mức hỗ trợ đóng bảo hiểm y tế cho một số đối tượng và hỗ trợ chi phí cùng chi trả cho người tham gia bảo hiểm y tế.</w:t>
      </w:r>
    </w:p>
    <w:p>
      <w:pPr>
        <w:pStyle w:val="Normal"/>
        <w:shd w:val="clear" w:color="auto" w:fill="FFFFFF" w:themeFill="background1"/>
        <w:spacing w:before="120" w:after="120"/>
        <w:ind w:firstLine="567"/>
        <w:jc w:val="both"/>
        <w:rPr>
          <w:rFonts w:ascii="Times New Roman" w:hAnsi="Times New Roman" w:cs="Times New Roman"/>
          <w:b/>
          <w:bCs/>
          <w:color w:themeColor="text1" w:val="000000"/>
          <w:sz w:val="28"/>
          <w:szCs w:val="28"/>
          <w:lang w:val="vi-VN"/>
        </w:rPr>
      </w:pPr>
      <w:r>
        <w:rPr>
          <w:rFonts w:cs="Times New Roman"/>
          <w:b/>
          <w:bCs/>
          <w:color w:themeColor="text1" w:val="000000"/>
          <w:sz w:val="28"/>
          <w:szCs w:val="28"/>
          <w:lang w:val="vi-VN"/>
        </w:rPr>
        <w:t>Điều 2. Đối tượng áp dụng</w:t>
      </w:r>
    </w:p>
    <w:p>
      <w:pPr>
        <w:pStyle w:val="Normal1"/>
        <w:spacing w:lineRule="auto" w:line="240" w:before="120" w:after="120"/>
        <w:ind w:firstLine="567"/>
        <w:jc w:val="both"/>
        <w:rPr>
          <w:rFonts w:ascii="Times New Roman" w:hAnsi="Times New Roman" w:cs="Times New Roman"/>
          <w:sz w:val="28"/>
          <w:szCs w:val="28"/>
          <w:lang w:val="vi-VN"/>
        </w:rPr>
      </w:pPr>
      <w:bookmarkStart w:id="1" w:name="_Hlk194096572"/>
      <w:bookmarkEnd w:id="0"/>
      <w:r>
        <w:rPr>
          <w:rFonts w:cs="Times New Roman" w:ascii="Times New Roman" w:hAnsi="Times New Roman"/>
          <w:bCs/>
          <w:color w:themeColor="text1" w:val="000000"/>
          <w:sz w:val="28"/>
          <w:szCs w:val="28"/>
          <w:lang w:val="fr-FR"/>
        </w:rPr>
        <w:t>Nghị định này áp dụng đối với người tham gia bảo hiểm y tế, cơ sở khám bệnh, chữa bệnh bảo hiểm y tế, cơ quan bảo hiểm xã hội và cơ quan, tổ chức, cá nhân khác có liên quan đến bảo hiểm y tế.</w:t>
      </w:r>
      <w:r>
        <w:rPr>
          <w:rFonts w:cs="Times New Roman" w:ascii="Times New Roman" w:hAnsi="Times New Roman"/>
          <w:sz w:val="28"/>
          <w:szCs w:val="28"/>
        </w:rPr>
        <w:tab/>
      </w:r>
    </w:p>
    <w:p>
      <w:pPr>
        <w:pStyle w:val="Normal1"/>
        <w:spacing w:lineRule="auto" w:line="240" w:before="0" w:after="120"/>
        <w:jc w:val="center"/>
        <w:rPr>
          <w:rFonts w:ascii="Times New Roman" w:hAnsi="Times New Roman" w:cs="Times New Roman"/>
          <w:b/>
          <w:sz w:val="28"/>
          <w:szCs w:val="28"/>
          <w:lang w:val="vi-VN"/>
        </w:rPr>
      </w:pPr>
      <w:r>
        <w:rPr>
          <w:rFonts w:cs="Times New Roman" w:ascii="Times New Roman" w:hAnsi="Times New Roman"/>
          <w:b/>
          <w:sz w:val="28"/>
          <w:szCs w:val="28"/>
          <w:lang w:val="vi-VN"/>
        </w:rPr>
        <w:t>Chương II</w:t>
      </w:r>
    </w:p>
    <w:p>
      <w:pPr>
        <w:pStyle w:val="Normal1"/>
        <w:spacing w:lineRule="auto" w:line="240" w:before="120" w:after="120"/>
        <w:jc w:val="center"/>
        <w:rPr>
          <w:rFonts w:ascii="Times New Roman" w:hAnsi="Times New Roman" w:cs="Times New Roman"/>
          <w:b/>
          <w:sz w:val="28"/>
          <w:szCs w:val="28"/>
          <w:lang w:val="vi-VN"/>
        </w:rPr>
      </w:pPr>
      <w:r>
        <w:rPr>
          <w:rFonts w:cs="Times New Roman" w:ascii="Times New Roman" w:hAnsi="Times New Roman"/>
          <w:b/>
          <w:sz w:val="28"/>
          <w:szCs w:val="28"/>
          <w:lang w:val="vi-VN"/>
        </w:rPr>
        <w:t>LỘ TRÌNH TĂNG MỨC HƯỞNG</w:t>
      </w:r>
      <w:r>
        <w:rPr>
          <w:rFonts w:cs="Times New Roman" w:ascii="Times New Roman" w:hAnsi="Times New Roman"/>
          <w:b/>
          <w:sz w:val="28"/>
          <w:szCs w:val="28"/>
        </w:rPr>
        <w:t>,</w:t>
      </w:r>
      <w:r>
        <w:rPr/>
        <w:t xml:space="preserve"> </w:t>
      </w:r>
      <w:r>
        <w:rPr>
          <w:rFonts w:cs="Times New Roman" w:ascii="Times New Roman" w:hAnsi="Times New Roman"/>
          <w:b/>
          <w:sz w:val="28"/>
          <w:szCs w:val="28"/>
          <w:lang w:val="vi-VN"/>
        </w:rPr>
        <w:t xml:space="preserve">PHẠM VI ĐƯỢC HƯỞNG </w:t>
      </w:r>
    </w:p>
    <w:p>
      <w:pPr>
        <w:pStyle w:val="Normal1"/>
        <w:spacing w:lineRule="auto" w:line="240" w:before="120" w:after="120"/>
        <w:jc w:val="center"/>
        <w:rPr>
          <w:rFonts w:ascii="Times New Roman" w:hAnsi="Times New Roman" w:cs="Times New Roman"/>
          <w:b/>
          <w:sz w:val="28"/>
          <w:szCs w:val="28"/>
          <w:lang w:val="vi-VN"/>
        </w:rPr>
      </w:pPr>
      <w:r>
        <w:rPr>
          <w:rFonts w:cs="Times New Roman" w:ascii="Times New Roman" w:hAnsi="Times New Roman"/>
          <w:b/>
          <w:sz w:val="28"/>
          <w:szCs w:val="28"/>
          <w:lang w:val="vi-VN"/>
        </w:rPr>
        <w:t xml:space="preserve">BẢO HIỂM Y TẾ </w:t>
      </w:r>
      <w:r>
        <w:rPr>
          <w:rFonts w:cs="Times New Roman" w:ascii="Times New Roman" w:hAnsi="Times New Roman"/>
          <w:b/>
          <w:sz w:val="28"/>
          <w:szCs w:val="28"/>
        </w:rPr>
        <w:t>THEO</w:t>
      </w:r>
      <w:r>
        <w:rPr>
          <w:rFonts w:cs="Times New Roman" w:ascii="Times New Roman" w:hAnsi="Times New Roman"/>
          <w:b/>
          <w:sz w:val="28"/>
          <w:szCs w:val="28"/>
          <w:lang w:val="vi-VN"/>
        </w:rPr>
        <w:t xml:space="preserve"> ĐỐI TƯỢNG </w:t>
      </w:r>
      <w:r>
        <w:rPr>
          <w:rFonts w:cs="Times New Roman" w:ascii="Times New Roman" w:hAnsi="Times New Roman"/>
          <w:b/>
          <w:sz w:val="28"/>
          <w:szCs w:val="28"/>
        </w:rPr>
        <w:t>ƯU TIÊN</w:t>
      </w:r>
    </w:p>
    <w:p>
      <w:pPr>
        <w:pStyle w:val="Normal1"/>
        <w:spacing w:lineRule="auto" w:line="240" w:before="120" w:after="120"/>
        <w:ind w:firstLine="720"/>
        <w:jc w:val="both"/>
        <w:rPr>
          <w:rFonts w:ascii="Times New Roman" w:hAnsi="Times New Roman" w:cs="Times New Roman"/>
          <w:sz w:val="28"/>
          <w:szCs w:val="28"/>
          <w:lang w:val="vi-VN"/>
        </w:rPr>
      </w:pPr>
      <w:r>
        <w:rPr>
          <w:rFonts w:cs="Times New Roman" w:ascii="Times New Roman" w:hAnsi="Times New Roman"/>
          <w:b/>
          <w:sz w:val="28"/>
          <w:szCs w:val="28"/>
        </w:rPr>
        <w:t xml:space="preserve">Điều </w:t>
      </w:r>
      <w:r>
        <w:rPr>
          <w:rFonts w:cs="Times New Roman" w:ascii="Times New Roman" w:hAnsi="Times New Roman"/>
          <w:b/>
          <w:sz w:val="28"/>
          <w:szCs w:val="28"/>
          <w:lang w:val="vi-VN"/>
        </w:rPr>
        <w:t>3</w:t>
      </w:r>
      <w:r>
        <w:rPr>
          <w:rFonts w:cs="Times New Roman" w:ascii="Times New Roman" w:hAnsi="Times New Roman"/>
          <w:b/>
          <w:sz w:val="28"/>
          <w:szCs w:val="28"/>
        </w:rPr>
        <w:t>. Lộ trình tăng mức hưởng bảo hiểm y tế trong phạm vi được hưởng của các đối tượng có mức hưởng</w:t>
      </w:r>
      <w:r>
        <w:rPr>
          <w:rFonts w:cs="Times New Roman" w:ascii="Times New Roman" w:hAnsi="Times New Roman"/>
          <w:b/>
          <w:sz w:val="28"/>
          <w:szCs w:val="28"/>
          <w:lang w:val="vi-VN"/>
        </w:rPr>
        <w:t xml:space="preserve"> theo</w:t>
      </w:r>
      <w:r>
        <w:rPr>
          <w:rFonts w:cs="Times New Roman" w:ascii="Times New Roman" w:hAnsi="Times New Roman"/>
          <w:b/>
          <w:sz w:val="28"/>
          <w:szCs w:val="28"/>
        </w:rPr>
        <w:t xml:space="preserve"> quy định tại điểm e khoản 1 Điều 22 của Luật Bảo hiểm y tế</w:t>
      </w:r>
      <w:r>
        <w:rPr>
          <w:rFonts w:cs="Times New Roman" w:ascii="Times New Roman" w:hAnsi="Times New Roman"/>
          <w:sz w:val="28"/>
          <w:szCs w:val="28"/>
        </w:rPr>
        <w:t xml:space="preserve"> </w:t>
      </w:r>
    </w:p>
    <w:p>
      <w:pPr>
        <w:pStyle w:val="Normal1"/>
        <w:spacing w:lineRule="auto" w:line="240" w:before="120" w:after="120"/>
        <w:jc w:val="both"/>
        <w:rPr>
          <w:rFonts w:ascii="Times New Roman" w:hAnsi="Times New Roman" w:cs="Times New Roman"/>
          <w:sz w:val="28"/>
          <w:szCs w:val="28"/>
          <w:lang w:val="vi-VN"/>
        </w:rPr>
      </w:pPr>
      <w:r>
        <w:rPr>
          <w:rFonts w:cs="Times New Roman" w:ascii="Times New Roman" w:hAnsi="Times New Roman"/>
          <w:sz w:val="28"/>
          <w:szCs w:val="28"/>
          <w:lang w:val="vi-VN"/>
        </w:rPr>
        <w:tab/>
        <w:t xml:space="preserve">1. </w:t>
      </w:r>
      <w:r>
        <w:rPr>
          <w:rFonts w:cs="Times New Roman" w:ascii="Times New Roman" w:hAnsi="Times New Roman"/>
          <w:sz w:val="28"/>
          <w:szCs w:val="28"/>
        </w:rPr>
        <w:t>Tăng</w:t>
      </w:r>
      <w:r>
        <w:rPr>
          <w:rFonts w:cs="Times New Roman" w:ascii="Times New Roman" w:hAnsi="Times New Roman"/>
          <w:sz w:val="28"/>
          <w:szCs w:val="28"/>
          <w:lang w:val="vi-VN"/>
        </w:rPr>
        <w:t xml:space="preserve"> </w:t>
      </w:r>
      <w:r>
        <w:rPr>
          <w:rFonts w:cs="Times New Roman" w:ascii="Times New Roman" w:hAnsi="Times New Roman"/>
          <w:sz w:val="28"/>
          <w:szCs w:val="28"/>
        </w:rPr>
        <w:t>mức hưởng</w:t>
      </w:r>
      <w:r>
        <w:rPr>
          <w:rFonts w:cs="Times New Roman" w:ascii="Times New Roman" w:hAnsi="Times New Roman"/>
          <w:sz w:val="28"/>
          <w:szCs w:val="28"/>
          <w:lang w:val="vi-VN"/>
        </w:rPr>
        <w:t xml:space="preserve"> của các đối tượng có mức hưởng</w:t>
      </w:r>
      <w:r>
        <w:rPr>
          <w:rFonts w:cs="Times New Roman" w:ascii="Times New Roman" w:hAnsi="Times New Roman"/>
          <w:sz w:val="28"/>
          <w:szCs w:val="28"/>
        </w:rPr>
        <w:t xml:space="preserve"> từ 80% chi phí khám bệnh, chữa bệnh trong phạm vi được hưởng </w:t>
      </w:r>
      <w:r>
        <w:rPr>
          <w:rFonts w:cs="Times New Roman" w:ascii="Times New Roman" w:hAnsi="Times New Roman"/>
          <w:b/>
          <w:sz w:val="28"/>
          <w:szCs w:val="28"/>
        </w:rPr>
        <w:t>lên 85%</w:t>
      </w:r>
      <w:r>
        <w:rPr>
          <w:rFonts w:cs="Times New Roman" w:ascii="Times New Roman" w:hAnsi="Times New Roman"/>
          <w:sz w:val="28"/>
          <w:szCs w:val="28"/>
        </w:rPr>
        <w:t xml:space="preserve"> t</w:t>
      </w:r>
      <w:r>
        <w:rPr>
          <w:rFonts w:cs="Times New Roman" w:ascii="Times New Roman" w:hAnsi="Times New Roman"/>
          <w:sz w:val="28"/>
          <w:szCs w:val="28"/>
          <w:lang w:val="vi-VN"/>
        </w:rPr>
        <w:t>ừ ngày 01 tháng 7 năm 2027</w:t>
      </w:r>
      <w:r>
        <w:rPr>
          <w:rFonts w:cs="Times New Roman" w:ascii="Times New Roman" w:hAnsi="Times New Roman"/>
          <w:sz w:val="28"/>
          <w:szCs w:val="28"/>
        </w:rPr>
        <w:t xml:space="preserve">, </w:t>
      </w:r>
      <w:r>
        <w:rPr>
          <w:rFonts w:cs="Times New Roman" w:ascii="Times New Roman" w:hAnsi="Times New Roman"/>
          <w:b/>
          <w:sz w:val="28"/>
          <w:szCs w:val="28"/>
        </w:rPr>
        <w:t>lên 90%</w:t>
      </w:r>
      <w:r>
        <w:rPr>
          <w:rFonts w:cs="Times New Roman" w:ascii="Times New Roman" w:hAnsi="Times New Roman"/>
          <w:sz w:val="28"/>
          <w:szCs w:val="28"/>
        </w:rPr>
        <w:t xml:space="preserve"> từ ngày 01 tháng 7 năm 2029; tăng</w:t>
      </w:r>
      <w:r>
        <w:rPr>
          <w:rFonts w:cs="Times New Roman" w:ascii="Times New Roman" w:hAnsi="Times New Roman"/>
          <w:sz w:val="28"/>
          <w:szCs w:val="28"/>
          <w:lang w:val="vi-VN"/>
        </w:rPr>
        <w:t xml:space="preserve"> </w:t>
      </w:r>
      <w:r>
        <w:rPr>
          <w:rFonts w:cs="Times New Roman" w:ascii="Times New Roman" w:hAnsi="Times New Roman"/>
          <w:sz w:val="28"/>
          <w:szCs w:val="28"/>
        </w:rPr>
        <w:t xml:space="preserve">mức hưởng chi phí khám bệnh, chữa bệnh tại cấp ban đầu, cấp cơ bản trong phạm vi được hưởng </w:t>
      </w:r>
      <w:r>
        <w:rPr>
          <w:rFonts w:cs="Times New Roman" w:ascii="Times New Roman" w:hAnsi="Times New Roman"/>
          <w:b/>
          <w:sz w:val="28"/>
          <w:szCs w:val="28"/>
        </w:rPr>
        <w:t>lên 95%</w:t>
      </w:r>
      <w:r>
        <w:rPr>
          <w:rFonts w:cs="Times New Roman" w:ascii="Times New Roman" w:hAnsi="Times New Roman"/>
          <w:sz w:val="28"/>
          <w:szCs w:val="28"/>
        </w:rPr>
        <w:t xml:space="preserve"> t</w:t>
      </w:r>
      <w:r>
        <w:rPr>
          <w:rFonts w:cs="Times New Roman" w:ascii="Times New Roman" w:hAnsi="Times New Roman"/>
          <w:sz w:val="28"/>
          <w:szCs w:val="28"/>
          <w:lang w:val="vi-VN"/>
        </w:rPr>
        <w:t>ừ ngày 01 tháng 7 năm 20</w:t>
      </w:r>
      <w:r>
        <w:rPr>
          <w:rFonts w:cs="Times New Roman" w:ascii="Times New Roman" w:hAnsi="Times New Roman"/>
          <w:sz w:val="28"/>
          <w:szCs w:val="28"/>
        </w:rPr>
        <w:t xml:space="preserve">30 </w:t>
      </w:r>
      <w:r>
        <w:rPr>
          <w:rFonts w:cs="Times New Roman" w:ascii="Times New Roman" w:hAnsi="Times New Roman"/>
          <w:sz w:val="28"/>
          <w:szCs w:val="28"/>
          <w:lang w:val="vi-VN"/>
        </w:rPr>
        <w:t>đối với các đối tượng</w:t>
      </w:r>
      <w:r>
        <w:rPr>
          <w:rFonts w:cs="Times New Roman" w:ascii="Times New Roman" w:hAnsi="Times New Roman"/>
          <w:sz w:val="28"/>
          <w:szCs w:val="28"/>
        </w:rPr>
        <w:t xml:space="preserve"> sau đây, trừ các nhóm đối tượng đã có mức hưởng cao hơn</w:t>
      </w:r>
      <w:r>
        <w:rPr>
          <w:rFonts w:cs="Times New Roman" w:ascii="Times New Roman" w:hAnsi="Times New Roman"/>
          <w:sz w:val="28"/>
          <w:szCs w:val="28"/>
          <w:lang w:val="vi-VN"/>
        </w:rPr>
        <w:t xml:space="preserve">: </w:t>
      </w:r>
    </w:p>
    <w:p>
      <w:pPr>
        <w:pStyle w:val="Normal1"/>
        <w:spacing w:lineRule="auto" w:line="240" w:before="120" w:after="120"/>
        <w:ind w:firstLine="720"/>
        <w:jc w:val="both"/>
        <w:rPr>
          <w:rFonts w:ascii="Times New Roman" w:hAnsi="Times New Roman" w:cs="Times New Roman"/>
          <w:sz w:val="28"/>
          <w:szCs w:val="28"/>
        </w:rPr>
      </w:pPr>
      <w:r>
        <w:rPr>
          <w:rFonts w:cs="Times New Roman" w:ascii="Times New Roman" w:hAnsi="Times New Roman"/>
          <w:sz w:val="28"/>
          <w:szCs w:val="28"/>
          <w:lang w:val="vi-VN"/>
        </w:rPr>
        <w:t>a) Người cao tuổi t</w:t>
      </w:r>
      <w:r>
        <w:rPr>
          <w:rFonts w:cs="Times New Roman" w:ascii="Times New Roman" w:hAnsi="Times New Roman"/>
          <w:sz w:val="28"/>
          <w:szCs w:val="28"/>
        </w:rPr>
        <w:t>ừ</w:t>
      </w:r>
      <w:r>
        <w:rPr>
          <w:rFonts w:cs="Times New Roman" w:ascii="Times New Roman" w:hAnsi="Times New Roman"/>
          <w:sz w:val="28"/>
          <w:szCs w:val="28"/>
          <w:lang w:val="vi-VN"/>
        </w:rPr>
        <w:t xml:space="preserve"> 75 tuổi</w:t>
      </w:r>
      <w:r>
        <w:rPr>
          <w:rFonts w:cs="Times New Roman" w:ascii="Times New Roman" w:hAnsi="Times New Roman"/>
          <w:sz w:val="28"/>
          <w:szCs w:val="28"/>
        </w:rPr>
        <w:t xml:space="preserve"> trở lên;</w:t>
      </w:r>
    </w:p>
    <w:p>
      <w:pPr>
        <w:pStyle w:val="Normal1"/>
        <w:spacing w:lineRule="auto" w:line="240" w:before="120" w:after="120"/>
        <w:ind w:firstLine="720"/>
        <w:jc w:val="both"/>
        <w:rPr>
          <w:rFonts w:ascii="Times New Roman" w:hAnsi="Times New Roman" w:cs="Times New Roman"/>
          <w:sz w:val="28"/>
          <w:szCs w:val="28"/>
        </w:rPr>
      </w:pPr>
      <w:r>
        <w:rPr>
          <w:rFonts w:cs="Times New Roman" w:ascii="Times New Roman" w:hAnsi="Times New Roman"/>
          <w:sz w:val="28"/>
          <w:szCs w:val="28"/>
        </w:rPr>
        <w:t>b) N</w:t>
      </w:r>
      <w:r>
        <w:rPr>
          <w:rFonts w:cs="Times New Roman" w:ascii="Times New Roman" w:hAnsi="Times New Roman"/>
          <w:sz w:val="28"/>
          <w:szCs w:val="28"/>
          <w:lang w:val="vi-VN"/>
        </w:rPr>
        <w:t>gười khuyết tật</w:t>
      </w:r>
      <w:r>
        <w:rPr>
          <w:rFonts w:cs="Times New Roman" w:ascii="Times New Roman" w:hAnsi="Times New Roman"/>
          <w:sz w:val="28"/>
          <w:szCs w:val="28"/>
        </w:rPr>
        <w:t xml:space="preserve"> nhẹ có suy giảm khả năng lao động từ 35% đến 60%;</w:t>
      </w:r>
    </w:p>
    <w:p>
      <w:pPr>
        <w:pStyle w:val="Normal1"/>
        <w:spacing w:lineRule="auto" w:line="240" w:before="120" w:after="120"/>
        <w:ind w:firstLine="720"/>
        <w:jc w:val="both"/>
        <w:rPr>
          <w:rFonts w:ascii="Times New Roman" w:hAnsi="Times New Roman" w:cs="Times New Roman"/>
          <w:sz w:val="28"/>
          <w:szCs w:val="28"/>
          <w:lang w:val="vi-VN"/>
        </w:rPr>
      </w:pPr>
      <w:r>
        <w:rPr>
          <w:rFonts w:cs="Times New Roman" w:ascii="Times New Roman" w:hAnsi="Times New Roman"/>
          <w:sz w:val="28"/>
          <w:szCs w:val="28"/>
        </w:rPr>
        <w:t>c</w:t>
      </w:r>
      <w:r>
        <w:rPr>
          <w:rFonts w:cs="Times New Roman" w:ascii="Times New Roman" w:hAnsi="Times New Roman"/>
          <w:sz w:val="28"/>
          <w:szCs w:val="28"/>
          <w:lang w:val="vi-VN"/>
        </w:rPr>
        <w:t xml:space="preserve">) </w:t>
      </w:r>
      <w:r>
        <w:rPr>
          <w:rFonts w:cs="Times New Roman" w:ascii="Times New Roman" w:hAnsi="Times New Roman"/>
          <w:sz w:val="28"/>
          <w:szCs w:val="28"/>
        </w:rPr>
        <w:t>Người dưới 18 tuổi;</w:t>
      </w:r>
    </w:p>
    <w:p>
      <w:pPr>
        <w:pStyle w:val="Normal1"/>
        <w:spacing w:lineRule="auto" w:line="240" w:before="120" w:after="120"/>
        <w:ind w:firstLine="720"/>
        <w:jc w:val="both"/>
        <w:rPr>
          <w:rFonts w:ascii="Times New Roman" w:hAnsi="Times New Roman" w:cs="Times New Roman"/>
          <w:sz w:val="28"/>
          <w:szCs w:val="28"/>
        </w:rPr>
      </w:pPr>
      <w:r>
        <w:rPr>
          <w:rFonts w:cs="Times New Roman" w:ascii="Times New Roman" w:hAnsi="Times New Roman"/>
          <w:sz w:val="28"/>
          <w:szCs w:val="28"/>
        </w:rPr>
        <w:t>d</w:t>
      </w:r>
      <w:r>
        <w:rPr>
          <w:rFonts w:cs="Times New Roman" w:ascii="Times New Roman" w:hAnsi="Times New Roman"/>
          <w:sz w:val="28"/>
          <w:szCs w:val="28"/>
          <w:lang w:val="vi-VN"/>
        </w:rPr>
        <w:t xml:space="preserve">) Người thuộc hộ gia đình có mức sống trung bình theo </w:t>
      </w:r>
      <w:r>
        <w:rPr>
          <w:rFonts w:cs="Times New Roman" w:ascii="Times New Roman" w:hAnsi="Times New Roman"/>
          <w:sz w:val="28"/>
          <w:szCs w:val="28"/>
        </w:rPr>
        <w:t>quy định của pháp luật.</w:t>
      </w:r>
    </w:p>
    <w:p>
      <w:pPr>
        <w:pStyle w:val="Normal1"/>
        <w:spacing w:lineRule="auto" w:line="240" w:before="120" w:after="120"/>
        <w:jc w:val="both"/>
        <w:rPr>
          <w:rFonts w:ascii="Times New Roman" w:hAnsi="Times New Roman" w:cs="Times New Roman"/>
          <w:sz w:val="28"/>
          <w:szCs w:val="28"/>
          <w:lang w:val="vi-VN"/>
        </w:rPr>
      </w:pPr>
      <w:r>
        <w:rPr>
          <w:rFonts w:cs="Times New Roman" w:ascii="Times New Roman" w:hAnsi="Times New Roman"/>
          <w:sz w:val="28"/>
          <w:szCs w:val="28"/>
          <w:lang w:val="vi-VN"/>
        </w:rPr>
        <w:tab/>
        <w:t xml:space="preserve">2. Tăng mức hưởng của các đối tượng có mức hưởng từ 80% chi phí khám bệnh, chữa bệnh trong phạm vi được hưởng </w:t>
      </w:r>
      <w:r>
        <w:rPr>
          <w:rFonts w:cs="Times New Roman" w:ascii="Times New Roman" w:hAnsi="Times New Roman"/>
          <w:b/>
          <w:sz w:val="28"/>
          <w:szCs w:val="28"/>
          <w:lang w:val="vi-VN"/>
        </w:rPr>
        <w:t>lên 85%</w:t>
      </w:r>
      <w:r>
        <w:rPr>
          <w:rFonts w:cs="Times New Roman" w:ascii="Times New Roman" w:hAnsi="Times New Roman"/>
          <w:sz w:val="28"/>
          <w:szCs w:val="28"/>
          <w:lang w:val="vi-VN"/>
        </w:rPr>
        <w:t xml:space="preserve"> từ ngày 01 tháng </w:t>
      </w:r>
      <w:r>
        <w:rPr>
          <w:rFonts w:cs="Times New Roman" w:ascii="Times New Roman" w:hAnsi="Times New Roman"/>
          <w:sz w:val="28"/>
          <w:szCs w:val="28"/>
        </w:rPr>
        <w:t>7</w:t>
      </w:r>
      <w:r>
        <w:rPr>
          <w:rFonts w:cs="Times New Roman" w:ascii="Times New Roman" w:hAnsi="Times New Roman"/>
          <w:sz w:val="28"/>
          <w:szCs w:val="28"/>
          <w:lang w:val="vi-VN"/>
        </w:rPr>
        <w:t xml:space="preserve"> năm 202</w:t>
      </w:r>
      <w:r>
        <w:rPr>
          <w:rFonts w:cs="Times New Roman" w:ascii="Times New Roman" w:hAnsi="Times New Roman"/>
          <w:sz w:val="28"/>
          <w:szCs w:val="28"/>
        </w:rPr>
        <w:t xml:space="preserve">8 </w:t>
      </w:r>
      <w:r>
        <w:rPr>
          <w:rFonts w:cs="Times New Roman" w:ascii="Times New Roman" w:hAnsi="Times New Roman"/>
          <w:sz w:val="28"/>
          <w:szCs w:val="28"/>
          <w:lang w:val="vi-VN"/>
        </w:rPr>
        <w:t>và</w:t>
      </w:r>
      <w:r>
        <w:rPr>
          <w:rFonts w:cs="Times New Roman" w:ascii="Times New Roman" w:hAnsi="Times New Roman"/>
          <w:sz w:val="28"/>
          <w:szCs w:val="28"/>
        </w:rPr>
        <w:t xml:space="preserve"> tăng</w:t>
      </w:r>
      <w:r>
        <w:rPr>
          <w:rFonts w:cs="Times New Roman" w:ascii="Times New Roman" w:hAnsi="Times New Roman"/>
          <w:sz w:val="28"/>
          <w:szCs w:val="28"/>
          <w:lang w:val="vi-VN"/>
        </w:rPr>
        <w:t xml:space="preserve"> </w:t>
      </w:r>
      <w:r>
        <w:rPr>
          <w:rFonts w:cs="Times New Roman" w:ascii="Times New Roman" w:hAnsi="Times New Roman"/>
          <w:sz w:val="28"/>
          <w:szCs w:val="28"/>
        </w:rPr>
        <w:t>mức hưởng chi phí khám bệnh, chữa bệnh tại cấp ban đầu, cấp cơ bản trong phạm vi được hưởng</w:t>
      </w:r>
      <w:r>
        <w:rPr>
          <w:rFonts w:cs="Times New Roman" w:ascii="Times New Roman" w:hAnsi="Times New Roman"/>
          <w:sz w:val="28"/>
          <w:szCs w:val="28"/>
          <w:lang w:val="vi-VN"/>
        </w:rPr>
        <w:t xml:space="preserve"> </w:t>
      </w:r>
      <w:r>
        <w:rPr>
          <w:rFonts w:cs="Times New Roman" w:ascii="Times New Roman" w:hAnsi="Times New Roman"/>
          <w:b/>
          <w:sz w:val="28"/>
          <w:szCs w:val="28"/>
          <w:lang w:val="vi-VN"/>
        </w:rPr>
        <w:t>lên 9</w:t>
      </w:r>
      <w:r>
        <w:rPr>
          <w:rFonts w:cs="Times New Roman" w:ascii="Times New Roman" w:hAnsi="Times New Roman"/>
          <w:b/>
          <w:sz w:val="28"/>
          <w:szCs w:val="28"/>
        </w:rPr>
        <w:t>0</w:t>
      </w:r>
      <w:r>
        <w:rPr>
          <w:rFonts w:cs="Times New Roman" w:ascii="Times New Roman" w:hAnsi="Times New Roman"/>
          <w:b/>
          <w:sz w:val="28"/>
          <w:szCs w:val="28"/>
          <w:lang w:val="vi-VN"/>
        </w:rPr>
        <w:t>%</w:t>
      </w:r>
      <w:r>
        <w:rPr>
          <w:rFonts w:cs="Times New Roman" w:ascii="Times New Roman" w:hAnsi="Times New Roman"/>
          <w:sz w:val="28"/>
          <w:szCs w:val="28"/>
          <w:lang w:val="vi-VN"/>
        </w:rPr>
        <w:t xml:space="preserve"> từ ngày 01 tháng 7 năm 2030 đối với các đối tượng</w:t>
      </w:r>
      <w:r>
        <w:rPr>
          <w:rFonts w:cs="Times New Roman" w:ascii="Times New Roman" w:hAnsi="Times New Roman"/>
          <w:sz w:val="28"/>
          <w:szCs w:val="28"/>
        </w:rPr>
        <w:t xml:space="preserve"> còn lại</w:t>
      </w:r>
      <w:r>
        <w:rPr>
          <w:rFonts w:cs="Times New Roman" w:ascii="Times New Roman" w:hAnsi="Times New Roman"/>
          <w:sz w:val="28"/>
          <w:szCs w:val="28"/>
          <w:lang w:val="vi-VN"/>
        </w:rPr>
        <w:t xml:space="preserve"> ngoài các đối tượng quy định tại Khoản 1 Điều này.</w:t>
      </w:r>
    </w:p>
    <w:p>
      <w:pPr>
        <w:pStyle w:val="Normal"/>
        <w:spacing w:before="120" w:after="120"/>
        <w:ind w:firstLine="720"/>
        <w:jc w:val="both"/>
        <w:rPr>
          <w:rFonts w:ascii="Times New Roman" w:hAnsi="Times New Roman" w:cs="Times New Roman"/>
          <w:b/>
          <w:sz w:val="28"/>
          <w:szCs w:val="28"/>
        </w:rPr>
      </w:pPr>
      <w:r>
        <w:rPr>
          <w:rFonts w:cs="Times New Roman"/>
          <w:b/>
          <w:sz w:val="28"/>
          <w:szCs w:val="28"/>
        </w:rPr>
        <w:t xml:space="preserve">Điều 4. </w:t>
      </w:r>
      <w:r>
        <w:rPr>
          <w:rFonts w:cs="Times New Roman"/>
          <w:b/>
          <w:sz w:val="28"/>
          <w:szCs w:val="28"/>
          <w:lang w:val="vi-VN"/>
        </w:rPr>
        <w:t xml:space="preserve">Danh mục bệnh </w:t>
      </w:r>
      <w:r>
        <w:rPr>
          <w:rFonts w:cs="Times New Roman"/>
          <w:b/>
          <w:color w:themeColor="text1" w:val="000000"/>
          <w:sz w:val="28"/>
          <w:szCs w:val="28"/>
        </w:rPr>
        <w:t>khám sàng lọc</w:t>
      </w:r>
      <w:r>
        <w:rPr>
          <w:rFonts w:cs="Times New Roman"/>
          <w:b/>
          <w:sz w:val="28"/>
          <w:szCs w:val="28"/>
          <w:lang w:val="vi-VN"/>
        </w:rPr>
        <w:t>, chẩn đoán</w:t>
      </w:r>
      <w:r>
        <w:rPr>
          <w:rFonts w:cs="Times New Roman"/>
          <w:b/>
          <w:sz w:val="28"/>
          <w:szCs w:val="28"/>
        </w:rPr>
        <w:t xml:space="preserve"> </w:t>
      </w:r>
      <w:r>
        <w:rPr>
          <w:rFonts w:cs="Times New Roman"/>
          <w:b/>
          <w:sz w:val="28"/>
          <w:szCs w:val="28"/>
          <w:lang w:val="vi-VN"/>
        </w:rPr>
        <w:t>sớm</w:t>
      </w:r>
      <w:r>
        <w:rPr>
          <w:rFonts w:cs="Times New Roman"/>
          <w:b/>
          <w:color w:themeColor="text1" w:val="000000"/>
          <w:sz w:val="28"/>
          <w:szCs w:val="28"/>
        </w:rPr>
        <w:t xml:space="preserve"> thuộc phạm vi chi trả của </w:t>
      </w:r>
      <w:r>
        <w:rPr>
          <w:rFonts w:cs="Times New Roman"/>
          <w:b/>
          <w:sz w:val="28"/>
          <w:szCs w:val="28"/>
          <w:lang w:val="vi-VN"/>
        </w:rPr>
        <w:t xml:space="preserve">Quỹ bảo hiểm y tế </w:t>
      </w:r>
      <w:r>
        <w:rPr>
          <w:rFonts w:cs="Times New Roman"/>
          <w:b/>
          <w:color w:themeColor="text1" w:val="000000"/>
          <w:sz w:val="28"/>
          <w:szCs w:val="28"/>
        </w:rPr>
        <w:t>theo lộ trình</w:t>
      </w:r>
    </w:p>
    <w:p>
      <w:pPr>
        <w:pStyle w:val="Normal"/>
        <w:spacing w:before="120" w:after="120"/>
        <w:ind w:firstLine="720"/>
        <w:jc w:val="both"/>
        <w:rPr>
          <w:rFonts w:ascii="Times New Roman" w:hAnsi="Times New Roman" w:cs="Times New Roman"/>
          <w:sz w:val="28"/>
          <w:szCs w:val="28"/>
          <w:lang w:val="vi-VN"/>
        </w:rPr>
      </w:pPr>
      <w:r>
        <w:rPr>
          <w:rFonts w:cs="Times New Roman"/>
          <w:sz w:val="28"/>
          <w:szCs w:val="28"/>
          <w:lang w:val="vi-VN"/>
        </w:rPr>
        <w:t xml:space="preserve">1. Danh mục một số bệnh được Quỹ bảo hiểm y tế thanh toán </w:t>
      </w:r>
      <w:r>
        <w:rPr>
          <w:rFonts w:cs="Times New Roman"/>
          <w:sz w:val="28"/>
          <w:szCs w:val="28"/>
        </w:rPr>
        <w:t xml:space="preserve">trong phạm vi quyền lợi, mức hưởng của người tham gia bảo hiểm y tế đối với </w:t>
      </w:r>
      <w:r>
        <w:rPr>
          <w:rFonts w:cs="Times New Roman"/>
          <w:sz w:val="28"/>
          <w:szCs w:val="28"/>
          <w:lang w:val="vi-VN"/>
        </w:rPr>
        <w:t>chi phí khám sàng lọc, chẩn đoán</w:t>
      </w:r>
      <w:r>
        <w:rPr>
          <w:rFonts w:cs="Times New Roman"/>
          <w:sz w:val="28"/>
          <w:szCs w:val="28"/>
        </w:rPr>
        <w:t xml:space="preserve"> </w:t>
      </w:r>
      <w:r>
        <w:rPr>
          <w:rFonts w:cs="Times New Roman"/>
          <w:sz w:val="28"/>
          <w:szCs w:val="28"/>
          <w:lang w:val="vi-VN"/>
        </w:rPr>
        <w:t>sớm theo lộ trình bao gồm:</w:t>
      </w:r>
    </w:p>
    <w:p>
      <w:pPr>
        <w:pStyle w:val="Normal"/>
        <w:spacing w:before="120" w:after="120"/>
        <w:ind w:firstLine="720"/>
        <w:jc w:val="both"/>
        <w:rPr>
          <w:rFonts w:ascii="Times New Roman" w:hAnsi="Times New Roman" w:cs="Times New Roman"/>
          <w:sz w:val="28"/>
          <w:szCs w:val="28"/>
        </w:rPr>
      </w:pPr>
      <w:r>
        <w:rPr>
          <w:rFonts w:cs="Times New Roman"/>
          <w:sz w:val="28"/>
          <w:szCs w:val="28"/>
        </w:rPr>
        <w:t>a</w:t>
      </w:r>
      <w:r>
        <w:rPr>
          <w:rFonts w:cs="Times New Roman"/>
          <w:sz w:val="28"/>
          <w:szCs w:val="28"/>
          <w:lang w:val="vi-VN"/>
        </w:rPr>
        <w:t xml:space="preserve">) </w:t>
      </w:r>
      <w:r>
        <w:rPr>
          <w:rFonts w:cs="Times New Roman"/>
          <w:sz w:val="28"/>
          <w:szCs w:val="28"/>
        </w:rPr>
        <w:t>Ung thư cổ tử cung.</w:t>
      </w:r>
    </w:p>
    <w:p>
      <w:pPr>
        <w:pStyle w:val="Normal"/>
        <w:spacing w:before="120" w:after="120"/>
        <w:ind w:firstLine="720"/>
        <w:jc w:val="both"/>
        <w:rPr>
          <w:rFonts w:ascii="Times New Roman" w:hAnsi="Times New Roman" w:cs="Times New Roman"/>
          <w:sz w:val="28"/>
          <w:szCs w:val="28"/>
        </w:rPr>
      </w:pPr>
      <w:r>
        <w:rPr>
          <w:rFonts w:cs="Times New Roman"/>
          <w:sz w:val="28"/>
          <w:szCs w:val="28"/>
        </w:rPr>
        <w:t>b</w:t>
      </w:r>
      <w:r>
        <w:rPr>
          <w:rFonts w:cs="Times New Roman"/>
          <w:sz w:val="28"/>
          <w:szCs w:val="28"/>
          <w:lang w:val="vi-VN"/>
        </w:rPr>
        <w:t xml:space="preserve">) </w:t>
      </w:r>
      <w:r>
        <w:rPr>
          <w:rFonts w:cs="Times New Roman"/>
          <w:sz w:val="28"/>
          <w:szCs w:val="28"/>
        </w:rPr>
        <w:t>Ung thư vú.</w:t>
      </w:r>
    </w:p>
    <w:p>
      <w:pPr>
        <w:pStyle w:val="Normal"/>
        <w:spacing w:before="120" w:after="120"/>
        <w:ind w:firstLine="720"/>
        <w:jc w:val="both"/>
        <w:rPr>
          <w:rFonts w:ascii="Times New Roman" w:hAnsi="Times New Roman" w:cs="Times New Roman"/>
          <w:sz w:val="28"/>
          <w:szCs w:val="28"/>
        </w:rPr>
      </w:pPr>
      <w:r>
        <w:rPr>
          <w:rFonts w:cs="Times New Roman"/>
          <w:sz w:val="28"/>
          <w:szCs w:val="28"/>
        </w:rPr>
        <w:t>c</w:t>
      </w:r>
      <w:r>
        <w:rPr>
          <w:rFonts w:cs="Times New Roman"/>
          <w:sz w:val="28"/>
          <w:szCs w:val="28"/>
          <w:lang w:val="vi-VN"/>
        </w:rPr>
        <w:t xml:space="preserve">) </w:t>
      </w:r>
      <w:r>
        <w:rPr>
          <w:rFonts w:cs="Times New Roman"/>
          <w:sz w:val="28"/>
          <w:szCs w:val="28"/>
        </w:rPr>
        <w:t>Ung thư phổi.</w:t>
      </w:r>
    </w:p>
    <w:p>
      <w:pPr>
        <w:pStyle w:val="Normal"/>
        <w:spacing w:before="120" w:after="120"/>
        <w:ind w:firstLine="720"/>
        <w:jc w:val="both"/>
        <w:rPr>
          <w:rFonts w:ascii="Times New Roman" w:hAnsi="Times New Roman" w:cs="Times New Roman"/>
          <w:sz w:val="28"/>
          <w:szCs w:val="28"/>
        </w:rPr>
      </w:pPr>
      <w:r>
        <w:rPr>
          <w:rFonts w:cs="Times New Roman"/>
          <w:sz w:val="28"/>
          <w:szCs w:val="28"/>
        </w:rPr>
        <w:t>d</w:t>
      </w:r>
      <w:r>
        <w:rPr>
          <w:rFonts w:cs="Times New Roman"/>
          <w:sz w:val="28"/>
          <w:szCs w:val="28"/>
          <w:lang w:val="vi-VN"/>
        </w:rPr>
        <w:t>)</w:t>
      </w:r>
      <w:r>
        <w:rPr>
          <w:rFonts w:cs="Times New Roman"/>
          <w:sz w:val="28"/>
          <w:szCs w:val="28"/>
        </w:rPr>
        <w:t xml:space="preserve"> Ung thư tiền liệt tuyến.</w:t>
      </w:r>
    </w:p>
    <w:p>
      <w:pPr>
        <w:pStyle w:val="Normal"/>
        <w:spacing w:before="120" w:after="120"/>
        <w:ind w:firstLine="720"/>
        <w:jc w:val="both"/>
        <w:rPr>
          <w:rFonts w:ascii="Times New Roman" w:hAnsi="Times New Roman" w:cs="Times New Roman"/>
          <w:sz w:val="28"/>
          <w:szCs w:val="28"/>
        </w:rPr>
      </w:pPr>
      <w:r>
        <w:rPr>
          <w:rFonts w:cs="Times New Roman"/>
          <w:sz w:val="28"/>
          <w:szCs w:val="28"/>
        </w:rPr>
        <w:t>đ</w:t>
      </w:r>
      <w:r>
        <w:rPr>
          <w:rFonts w:cs="Times New Roman"/>
          <w:sz w:val="28"/>
          <w:szCs w:val="28"/>
          <w:lang w:val="vi-VN"/>
        </w:rPr>
        <w:t xml:space="preserve">) </w:t>
      </w:r>
      <w:r>
        <w:rPr>
          <w:rFonts w:cs="Times New Roman"/>
          <w:sz w:val="28"/>
          <w:szCs w:val="28"/>
        </w:rPr>
        <w:t>Ung thư đại trực tràng.</w:t>
      </w:r>
    </w:p>
    <w:p>
      <w:pPr>
        <w:pStyle w:val="Normal"/>
        <w:spacing w:before="120" w:after="120"/>
        <w:ind w:firstLine="720"/>
        <w:jc w:val="both"/>
        <w:rPr>
          <w:rFonts w:ascii="Times New Roman" w:hAnsi="Times New Roman" w:cs="Times New Roman"/>
          <w:sz w:val="28"/>
          <w:szCs w:val="28"/>
        </w:rPr>
      </w:pPr>
      <w:r>
        <w:rPr>
          <w:rFonts w:cs="Times New Roman"/>
          <w:sz w:val="28"/>
          <w:szCs w:val="28"/>
        </w:rPr>
        <w:t>e</w:t>
      </w:r>
      <w:r>
        <w:rPr>
          <w:rFonts w:cs="Times New Roman"/>
          <w:sz w:val="28"/>
          <w:szCs w:val="28"/>
          <w:lang w:val="vi-VN"/>
        </w:rPr>
        <w:t>)</w:t>
      </w:r>
      <w:r>
        <w:rPr>
          <w:rFonts w:cs="Times New Roman"/>
          <w:sz w:val="28"/>
          <w:szCs w:val="28"/>
        </w:rPr>
        <w:t xml:space="preserve"> Ung thư dạ dày.</w:t>
      </w:r>
    </w:p>
    <w:p>
      <w:pPr>
        <w:pStyle w:val="Normal"/>
        <w:spacing w:before="120" w:after="120"/>
        <w:ind w:firstLine="720"/>
        <w:jc w:val="both"/>
        <w:rPr>
          <w:rFonts w:ascii="Times New Roman" w:hAnsi="Times New Roman" w:cs="Times New Roman"/>
          <w:sz w:val="28"/>
          <w:szCs w:val="28"/>
        </w:rPr>
      </w:pPr>
      <w:r>
        <w:rPr>
          <w:rFonts w:cs="Times New Roman"/>
          <w:sz w:val="28"/>
          <w:szCs w:val="28"/>
        </w:rPr>
        <w:t>g</w:t>
      </w:r>
      <w:r>
        <w:rPr>
          <w:rFonts w:cs="Times New Roman"/>
          <w:sz w:val="28"/>
          <w:szCs w:val="28"/>
          <w:lang w:val="vi-VN"/>
        </w:rPr>
        <w:t>)</w:t>
      </w:r>
      <w:r>
        <w:rPr>
          <w:rFonts w:cs="Times New Roman"/>
          <w:sz w:val="28"/>
          <w:szCs w:val="28"/>
        </w:rPr>
        <w:t xml:space="preserve"> Ung thư gan.</w:t>
      </w:r>
    </w:p>
    <w:p>
      <w:pPr>
        <w:pStyle w:val="Normal"/>
        <w:spacing w:before="120" w:after="120"/>
        <w:ind w:firstLine="720"/>
        <w:jc w:val="both"/>
        <w:rPr>
          <w:rFonts w:ascii="Times New Roman" w:hAnsi="Times New Roman" w:cs="Times New Roman"/>
          <w:sz w:val="28"/>
          <w:szCs w:val="28"/>
        </w:rPr>
      </w:pPr>
      <w:r>
        <w:rPr>
          <w:rFonts w:cs="Times New Roman"/>
          <w:sz w:val="28"/>
          <w:szCs w:val="28"/>
        </w:rPr>
        <w:t>h</w:t>
      </w:r>
      <w:r>
        <w:rPr>
          <w:rFonts w:cs="Times New Roman"/>
          <w:sz w:val="28"/>
          <w:szCs w:val="28"/>
          <w:lang w:val="vi-VN"/>
        </w:rPr>
        <w:t>)</w:t>
      </w:r>
      <w:r>
        <w:rPr>
          <w:rFonts w:cs="Times New Roman"/>
          <w:sz w:val="28"/>
          <w:szCs w:val="28"/>
        </w:rPr>
        <w:t xml:space="preserve"> Viêm gan B, C.</w:t>
      </w:r>
    </w:p>
    <w:p>
      <w:pPr>
        <w:pStyle w:val="Normal"/>
        <w:spacing w:before="120" w:after="120"/>
        <w:ind w:firstLine="720"/>
        <w:jc w:val="both"/>
        <w:rPr>
          <w:rFonts w:ascii="Times New Roman" w:hAnsi="Times New Roman" w:cs="Times New Roman"/>
          <w:sz w:val="28"/>
          <w:szCs w:val="28"/>
          <w:lang w:val="vi-VN"/>
        </w:rPr>
      </w:pPr>
      <w:r>
        <w:rPr>
          <w:rFonts w:cs="Times New Roman"/>
          <w:sz w:val="28"/>
          <w:szCs w:val="28"/>
        </w:rPr>
        <w:t>2</w:t>
      </w:r>
      <w:r>
        <w:rPr>
          <w:rFonts w:cs="Times New Roman"/>
          <w:sz w:val="28"/>
          <w:szCs w:val="28"/>
          <w:lang w:val="vi-VN"/>
        </w:rPr>
        <w:t xml:space="preserve">. </w:t>
      </w:r>
      <w:r>
        <w:rPr>
          <w:rFonts w:cs="Times New Roman"/>
          <w:sz w:val="28"/>
          <w:szCs w:val="28"/>
        </w:rPr>
        <w:t>Quỹ</w:t>
      </w:r>
      <w:r>
        <w:rPr>
          <w:rFonts w:cs="Times New Roman"/>
          <w:sz w:val="28"/>
          <w:szCs w:val="28"/>
          <w:lang w:val="vi-VN"/>
        </w:rPr>
        <w:t xml:space="preserve"> bảo hiểm y tế thanh toán các c</w:t>
      </w:r>
      <w:r>
        <w:rPr>
          <w:rFonts w:cs="Times New Roman"/>
          <w:sz w:val="28"/>
          <w:szCs w:val="28"/>
        </w:rPr>
        <w:t>hi</w:t>
      </w:r>
      <w:r>
        <w:rPr>
          <w:rFonts w:cs="Times New Roman"/>
          <w:sz w:val="28"/>
          <w:szCs w:val="28"/>
          <w:lang w:val="vi-VN"/>
        </w:rPr>
        <w:t xml:space="preserve"> phí khám, thực hiện dịch vụ kỹ thuật</w:t>
      </w:r>
      <w:r>
        <w:rPr>
          <w:rFonts w:cs="Times New Roman"/>
          <w:sz w:val="28"/>
          <w:szCs w:val="28"/>
        </w:rPr>
        <w:t xml:space="preserve"> cận lâm sàng</w:t>
      </w:r>
      <w:r>
        <w:rPr>
          <w:rFonts w:cs="Times New Roman"/>
          <w:sz w:val="28"/>
          <w:szCs w:val="28"/>
          <w:lang w:val="vi-VN"/>
        </w:rPr>
        <w:t xml:space="preserve">, </w:t>
      </w:r>
      <w:r>
        <w:rPr>
          <w:rFonts w:cs="Times New Roman"/>
          <w:sz w:val="28"/>
          <w:szCs w:val="28"/>
        </w:rPr>
        <w:t xml:space="preserve">chi phí thuốc, thiết bị y tế, máu, vật tư, dụng cụ, công cụ, hóa chất và các chi phí khác (nếu có) </w:t>
      </w:r>
      <w:r>
        <w:rPr>
          <w:rFonts w:cs="Times New Roman"/>
          <w:sz w:val="28"/>
          <w:szCs w:val="28"/>
          <w:lang w:val="vi-VN"/>
        </w:rPr>
        <w:t>dùng trong khám sàng lọc, chẩn đoán</w:t>
      </w:r>
      <w:r>
        <w:rPr>
          <w:rFonts w:cs="Times New Roman"/>
          <w:sz w:val="28"/>
          <w:szCs w:val="28"/>
        </w:rPr>
        <w:t xml:space="preserve"> </w:t>
      </w:r>
      <w:r>
        <w:rPr>
          <w:rFonts w:cs="Times New Roman"/>
          <w:sz w:val="28"/>
          <w:szCs w:val="28"/>
          <w:lang w:val="vi-VN"/>
        </w:rPr>
        <w:t xml:space="preserve">sớm trong phạm vi quyền lợi, mức hưởng, tỷ lệ hưởng </w:t>
      </w:r>
      <w:r>
        <w:rPr>
          <w:rFonts w:cs="Times New Roman"/>
          <w:sz w:val="28"/>
          <w:szCs w:val="28"/>
        </w:rPr>
        <w:t xml:space="preserve">của người tham gia bảo hiểm y tế </w:t>
      </w:r>
      <w:r>
        <w:rPr>
          <w:rFonts w:cs="Times New Roman"/>
          <w:sz w:val="28"/>
          <w:szCs w:val="28"/>
          <w:lang w:val="vi-VN"/>
        </w:rPr>
        <w:t>theo quy định của pháp luật về bảo hiểm y tế</w:t>
      </w:r>
      <w:r>
        <w:rPr>
          <w:rFonts w:cs="Times New Roman"/>
          <w:sz w:val="28"/>
          <w:szCs w:val="28"/>
        </w:rPr>
        <w:t xml:space="preserve"> phù hợp với khả năng cân đối của quỹ bảo hiểm y tế</w:t>
      </w:r>
      <w:r>
        <w:rPr>
          <w:rFonts w:cs="Times New Roman"/>
          <w:sz w:val="28"/>
          <w:szCs w:val="28"/>
          <w:lang w:val="vi-VN"/>
        </w:rPr>
        <w:t>.</w:t>
      </w:r>
    </w:p>
    <w:p>
      <w:pPr>
        <w:pStyle w:val="Normal"/>
        <w:spacing w:before="120" w:after="120"/>
        <w:ind w:firstLine="720"/>
        <w:jc w:val="both"/>
        <w:rPr>
          <w:rFonts w:ascii="Times New Roman" w:hAnsi="Times New Roman" w:cs="Times New Roman"/>
          <w:sz w:val="28"/>
          <w:szCs w:val="28"/>
          <w:lang w:val="vi-VN"/>
        </w:rPr>
      </w:pPr>
      <w:r>
        <w:rPr>
          <w:rFonts w:cs="Times New Roman"/>
          <w:sz w:val="28"/>
          <w:szCs w:val="28"/>
          <w:lang w:val="vi-VN"/>
        </w:rPr>
        <w:t>3. Trường hợp kết quả khám, chẩn đoán xác định mắc bệnh, người tham gia bảo hiểm y tế được thanh toán chi phí khám bệnh, chữa bệnh theo quy định của pháp luật về bảo hiểm y tế khi có kết quả khám, chẩn đoán.</w:t>
      </w:r>
    </w:p>
    <w:p>
      <w:pPr>
        <w:pStyle w:val="Normal"/>
        <w:spacing w:before="120" w:after="120"/>
        <w:ind w:firstLine="720"/>
        <w:jc w:val="both"/>
        <w:rPr>
          <w:rFonts w:ascii="Times New Roman" w:hAnsi="Times New Roman" w:cs="Times New Roman"/>
          <w:b/>
          <w:sz w:val="28"/>
          <w:szCs w:val="28"/>
        </w:rPr>
      </w:pPr>
      <w:r>
        <w:rPr>
          <w:rFonts w:cs="Times New Roman"/>
          <w:b/>
          <w:sz w:val="28"/>
          <w:szCs w:val="28"/>
        </w:rPr>
        <w:t xml:space="preserve">Điều 5. Lộ trình thực hiện mở rộng phạm vi chi trả cho các đối tượng thuộc phạm vi chi trả của </w:t>
      </w:r>
      <w:r>
        <w:rPr>
          <w:rFonts w:cs="Times New Roman"/>
          <w:b/>
          <w:sz w:val="28"/>
          <w:szCs w:val="28"/>
          <w:lang w:val="vi-VN"/>
        </w:rPr>
        <w:t>Quỹ bảo hiểm y tế phù hợp khả năng cân đối quỹ bảo hiểm y tế</w:t>
      </w:r>
    </w:p>
    <w:p>
      <w:pPr>
        <w:pStyle w:val="Normal"/>
        <w:spacing w:before="120" w:after="120"/>
        <w:ind w:firstLine="720"/>
        <w:jc w:val="both"/>
        <w:rPr>
          <w:rFonts w:ascii="Times New Roman" w:hAnsi="Times New Roman" w:cs="Times New Roman"/>
          <w:sz w:val="28"/>
          <w:szCs w:val="28"/>
          <w:lang w:val="vi-VN"/>
        </w:rPr>
      </w:pPr>
      <w:r>
        <w:rPr>
          <w:rFonts w:cs="Times New Roman"/>
          <w:sz w:val="28"/>
          <w:szCs w:val="28"/>
          <w:lang w:val="vi-VN"/>
        </w:rPr>
        <w:t>1</w:t>
      </w:r>
      <w:r>
        <w:rPr>
          <w:rFonts w:cs="Times New Roman"/>
          <w:sz w:val="28"/>
          <w:szCs w:val="28"/>
        </w:rPr>
        <w:t>. Từ ngày 01 tháng 7 năm 2027, thanh toán chi phí khám sức khoẻ định kỳ cho một số đối tượng trong các đối tượng có tham gia bảo hiểm y tế quy định tại các điểm a và điểm đ khoản 2 Điều 69 và Khoản 4 Điều 72 Nghị định 165/2026/NĐ-CP ngày 15 tháng 5 năm 2026 của Chính phủ quy định chi tiết và hướng dẫn thi hành một số điều của Luật Phòng bệnh theo lộ trình ưu tiên, ngân sách nhà nước chi trả cho các đối tượng và phần chi phí Quỹ bảo hiểm y tế chưa chi trả. Mức</w:t>
      </w:r>
      <w:r>
        <w:rPr>
          <w:rFonts w:cs="Times New Roman"/>
          <w:sz w:val="28"/>
          <w:szCs w:val="28"/>
          <w:lang w:val="vi-VN"/>
        </w:rPr>
        <w:t xml:space="preserve"> thanh toán tối đa bằng 15% mức lương cơ sở.</w:t>
      </w:r>
    </w:p>
    <w:p>
      <w:pPr>
        <w:pStyle w:val="Normal"/>
        <w:spacing w:before="120" w:after="120"/>
        <w:ind w:firstLine="720"/>
        <w:jc w:val="both"/>
        <w:rPr>
          <w:rFonts w:ascii="Times New Roman" w:hAnsi="Times New Roman" w:cs="Times New Roman"/>
          <w:sz w:val="28"/>
          <w:szCs w:val="28"/>
        </w:rPr>
      </w:pPr>
      <w:r>
        <w:rPr>
          <w:rFonts w:cs="Times New Roman"/>
          <w:sz w:val="28"/>
          <w:szCs w:val="28"/>
        </w:rPr>
        <w:t>2. Từ ngày 01 tháng 7 năm 2027, thực hiện thanh toán đối với viêm gan B, C lồng ghép trong khám sức khoẻ định kỳ;</w:t>
      </w:r>
    </w:p>
    <w:p>
      <w:pPr>
        <w:pStyle w:val="Normal"/>
        <w:spacing w:before="120" w:after="120"/>
        <w:ind w:firstLine="720"/>
        <w:jc w:val="both"/>
        <w:rPr>
          <w:rFonts w:ascii="Times New Roman" w:hAnsi="Times New Roman" w:cs="Times New Roman"/>
          <w:sz w:val="28"/>
          <w:szCs w:val="28"/>
        </w:rPr>
      </w:pPr>
      <w:r>
        <w:rPr>
          <w:rFonts w:cs="Times New Roman"/>
          <w:sz w:val="28"/>
          <w:szCs w:val="28"/>
        </w:rPr>
        <w:t>3</w:t>
      </w:r>
      <w:r>
        <w:rPr>
          <w:rFonts w:cs="Times New Roman"/>
          <w:sz w:val="28"/>
          <w:szCs w:val="28"/>
          <w:lang w:val="vi-VN"/>
        </w:rPr>
        <w:t>.</w:t>
      </w:r>
      <w:r>
        <w:rPr>
          <w:rFonts w:cs="Times New Roman"/>
          <w:sz w:val="28"/>
          <w:szCs w:val="28"/>
        </w:rPr>
        <w:t xml:space="preserve"> Từ ngày 01 tháng 7 năm 2028, thực hiện thí điểm thanh toán và từ ngày 01 tháng 01 năm 2030, thực hiện thanh toán đối với ung thư cổ tử cung;</w:t>
      </w:r>
    </w:p>
    <w:p>
      <w:pPr>
        <w:pStyle w:val="Normal"/>
        <w:spacing w:before="120" w:after="120"/>
        <w:ind w:firstLine="720"/>
        <w:jc w:val="both"/>
        <w:rPr>
          <w:rFonts w:ascii="Times New Roman" w:hAnsi="Times New Roman" w:cs="Times New Roman"/>
          <w:sz w:val="28"/>
          <w:szCs w:val="28"/>
        </w:rPr>
      </w:pPr>
      <w:r>
        <w:rPr>
          <w:rFonts w:cs="Times New Roman"/>
          <w:sz w:val="28"/>
          <w:szCs w:val="28"/>
        </w:rPr>
        <w:t>4</w:t>
      </w:r>
      <w:r>
        <w:rPr>
          <w:rFonts w:cs="Times New Roman"/>
          <w:sz w:val="28"/>
          <w:szCs w:val="28"/>
          <w:lang w:val="vi-VN"/>
        </w:rPr>
        <w:t>.</w:t>
      </w:r>
      <w:r>
        <w:rPr>
          <w:rFonts w:cs="Times New Roman"/>
          <w:sz w:val="28"/>
          <w:szCs w:val="28"/>
        </w:rPr>
        <w:t xml:space="preserve"> Từ ngày 01 tháng 01 năm 2030, việc thanh toán đối với ung thư vú, ung thư phổi, ung thư tuyến tiền liệt, ung thư đại trực tràng, tăng huyết áp, đái tháo đường theo lộ trình do Bộ Y tế quy định.</w:t>
      </w:r>
    </w:p>
    <w:p>
      <w:pPr>
        <w:pStyle w:val="Normal"/>
        <w:spacing w:before="120" w:after="120"/>
        <w:ind w:firstLine="720"/>
        <w:jc w:val="both"/>
        <w:rPr>
          <w:rFonts w:ascii="Times New Roman" w:hAnsi="Times New Roman" w:cs="Times New Roman"/>
          <w:sz w:val="28"/>
          <w:szCs w:val="28"/>
        </w:rPr>
      </w:pPr>
      <w:r>
        <w:rPr>
          <w:rFonts w:cs="Times New Roman"/>
          <w:sz w:val="28"/>
          <w:szCs w:val="28"/>
        </w:rPr>
        <w:t>5. Từ ngày 01 tháng 7 năm 2027, thực</w:t>
      </w:r>
      <w:r>
        <w:rPr>
          <w:rFonts w:cs="Times New Roman"/>
          <w:sz w:val="28"/>
          <w:szCs w:val="28"/>
          <w:lang w:val="vi-VN"/>
        </w:rPr>
        <w:t xml:space="preserve"> hiện </w:t>
      </w:r>
      <w:r>
        <w:rPr>
          <w:rFonts w:cs="Times New Roman"/>
          <w:sz w:val="28"/>
          <w:szCs w:val="28"/>
        </w:rPr>
        <w:t>thanh toán trong phạm vi quyền lợi, mức hưởng của người tham gia bảo hiểm y tế đối với chi phí điều trị dinh dưỡng cho các bệnh động kinh kháng trị ở trẻ em, suy dinh dưỡng cấp tính ở trẻ dưới 6 tuổi, trẻ sơ sinh sinh non nhẹ cân theo hướng dẫn chẩn đoán và điều trị, hướng dẫn quốc gia về các dịch vụ chăm sóc và điều trị trẻ sơ sinh của Bộ Y tế.</w:t>
      </w:r>
    </w:p>
    <w:p>
      <w:pPr>
        <w:pStyle w:val="Normal"/>
        <w:spacing w:before="120" w:after="120"/>
        <w:ind w:firstLine="720"/>
        <w:jc w:val="both"/>
        <w:rPr>
          <w:rFonts w:ascii="Times New Roman" w:hAnsi="Times New Roman" w:cs="Times New Roman"/>
          <w:sz w:val="28"/>
          <w:szCs w:val="28"/>
        </w:rPr>
      </w:pPr>
      <w:r>
        <w:rPr>
          <w:rFonts w:cs="Times New Roman"/>
          <w:sz w:val="28"/>
          <w:szCs w:val="28"/>
          <w:lang w:val="vi-VN"/>
        </w:rPr>
        <w:t>6</w:t>
      </w:r>
      <w:r>
        <w:rPr>
          <w:rFonts w:cs="Times New Roman"/>
          <w:sz w:val="28"/>
          <w:szCs w:val="28"/>
        </w:rPr>
        <w:t>. Từ ngày 01 tháng 01 năm 2028, thực</w:t>
      </w:r>
      <w:r>
        <w:rPr>
          <w:rFonts w:cs="Times New Roman"/>
          <w:sz w:val="28"/>
          <w:szCs w:val="28"/>
          <w:lang w:val="vi-VN"/>
        </w:rPr>
        <w:t xml:space="preserve"> hiện </w:t>
      </w:r>
      <w:r>
        <w:rPr>
          <w:rFonts w:cs="Times New Roman"/>
          <w:sz w:val="28"/>
          <w:szCs w:val="28"/>
        </w:rPr>
        <w:t>thanh toán đối với</w:t>
      </w:r>
      <w:r>
        <w:rPr>
          <w:rFonts w:cs="Times New Roman"/>
          <w:sz w:val="28"/>
          <w:szCs w:val="28"/>
          <w:lang w:val="vi-VN"/>
        </w:rPr>
        <w:t xml:space="preserve"> </w:t>
      </w:r>
      <w:r>
        <w:rPr>
          <w:rFonts w:cs="Times New Roman"/>
          <w:sz w:val="28"/>
          <w:szCs w:val="28"/>
        </w:rPr>
        <w:t>chi</w:t>
      </w:r>
      <w:r>
        <w:rPr>
          <w:rFonts w:cs="Times New Roman"/>
          <w:sz w:val="28"/>
          <w:szCs w:val="28"/>
          <w:lang w:val="vi-VN"/>
        </w:rPr>
        <w:t xml:space="preserve"> phí </w:t>
      </w:r>
      <w:r>
        <w:rPr>
          <w:rFonts w:cs="Times New Roman"/>
          <w:sz w:val="28"/>
          <w:szCs w:val="28"/>
        </w:rPr>
        <w:t>quản lý bệnh mạn tính và</w:t>
      </w:r>
      <w:r>
        <w:rPr>
          <w:rFonts w:cs="Times New Roman"/>
          <w:sz w:val="28"/>
          <w:szCs w:val="28"/>
          <w:lang w:val="vi-VN"/>
        </w:rPr>
        <w:t xml:space="preserve"> </w:t>
      </w:r>
      <w:r>
        <w:rPr>
          <w:rFonts w:cs="Times New Roman"/>
          <w:sz w:val="28"/>
          <w:szCs w:val="28"/>
        </w:rPr>
        <w:t>một số dịch vụ phòng bệnh</w:t>
      </w:r>
      <w:r>
        <w:rPr>
          <w:rFonts w:cs="Times New Roman"/>
          <w:sz w:val="28"/>
          <w:szCs w:val="28"/>
          <w:lang w:val="vi-VN"/>
        </w:rPr>
        <w:t xml:space="preserve"> khác</w:t>
      </w:r>
      <w:r>
        <w:rPr>
          <w:rFonts w:cs="Times New Roman"/>
          <w:sz w:val="28"/>
          <w:szCs w:val="28"/>
        </w:rPr>
        <w:t xml:space="preserve">. </w:t>
      </w:r>
    </w:p>
    <w:p>
      <w:pPr>
        <w:pStyle w:val="Normal"/>
        <w:spacing w:before="120" w:after="120"/>
        <w:ind w:firstLine="720"/>
        <w:jc w:val="both"/>
        <w:rPr>
          <w:rFonts w:ascii="Times New Roman" w:hAnsi="Times New Roman" w:cs="Times New Roman"/>
          <w:sz w:val="28"/>
          <w:szCs w:val="28"/>
          <w:lang w:val="vi-VN"/>
        </w:rPr>
      </w:pPr>
      <w:r>
        <w:rPr>
          <w:rFonts w:cs="Times New Roman"/>
          <w:sz w:val="28"/>
          <w:szCs w:val="28"/>
        </w:rPr>
        <w:t>7</w:t>
      </w:r>
      <w:r>
        <w:rPr>
          <w:rFonts w:cs="Times New Roman"/>
          <w:sz w:val="28"/>
          <w:szCs w:val="28"/>
          <w:lang w:val="vi-VN"/>
        </w:rPr>
        <w:t xml:space="preserve">. </w:t>
      </w:r>
      <w:r>
        <w:rPr>
          <w:rFonts w:cs="Times New Roman"/>
          <w:sz w:val="28"/>
          <w:szCs w:val="28"/>
        </w:rPr>
        <w:t>Quỹ</w:t>
      </w:r>
      <w:r>
        <w:rPr>
          <w:rFonts w:cs="Times New Roman"/>
          <w:sz w:val="28"/>
          <w:szCs w:val="28"/>
          <w:lang w:val="vi-VN"/>
        </w:rPr>
        <w:t xml:space="preserve"> bảo hiểm y tế thanh toán các c</w:t>
      </w:r>
      <w:r>
        <w:rPr>
          <w:rFonts w:cs="Times New Roman"/>
          <w:sz w:val="28"/>
          <w:szCs w:val="28"/>
        </w:rPr>
        <w:t>hi</w:t>
      </w:r>
      <w:r>
        <w:rPr>
          <w:rFonts w:cs="Times New Roman"/>
          <w:sz w:val="28"/>
          <w:szCs w:val="28"/>
          <w:lang w:val="vi-VN"/>
        </w:rPr>
        <w:t xml:space="preserve"> phí khám, thực hiện dịch vụ kỹ thuật</w:t>
      </w:r>
      <w:r>
        <w:rPr>
          <w:rFonts w:cs="Times New Roman"/>
          <w:sz w:val="28"/>
          <w:szCs w:val="28"/>
        </w:rPr>
        <w:t xml:space="preserve"> cận lâm sàng</w:t>
      </w:r>
      <w:r>
        <w:rPr>
          <w:rFonts w:cs="Times New Roman"/>
          <w:sz w:val="28"/>
          <w:szCs w:val="28"/>
          <w:lang w:val="vi-VN"/>
        </w:rPr>
        <w:t xml:space="preserve">, </w:t>
      </w:r>
      <w:r>
        <w:rPr>
          <w:rFonts w:cs="Times New Roman"/>
          <w:sz w:val="28"/>
          <w:szCs w:val="28"/>
        </w:rPr>
        <w:t xml:space="preserve">chi phí thuốc, thiết bị y tế, máu, vật tư, dụng cụ, công cụ, hóa chất và các chi phí khác (nếu có) </w:t>
      </w:r>
      <w:r>
        <w:rPr>
          <w:rFonts w:cs="Times New Roman"/>
          <w:sz w:val="28"/>
          <w:szCs w:val="28"/>
          <w:lang w:val="vi-VN"/>
        </w:rPr>
        <w:t>dùng trong khám sàng lọc, chẩn đoán</w:t>
      </w:r>
      <w:r>
        <w:rPr>
          <w:rFonts w:cs="Times New Roman"/>
          <w:sz w:val="28"/>
          <w:szCs w:val="28"/>
        </w:rPr>
        <w:t xml:space="preserve"> </w:t>
      </w:r>
      <w:r>
        <w:rPr>
          <w:rFonts w:cs="Times New Roman"/>
          <w:sz w:val="28"/>
          <w:szCs w:val="28"/>
          <w:lang w:val="vi-VN"/>
        </w:rPr>
        <w:t xml:space="preserve">sớm, điều trị và điều trị dự phòng trong phạm vi quyền lợi, mức hưởng, tỷ lệ hưởng </w:t>
      </w:r>
      <w:r>
        <w:rPr>
          <w:rFonts w:cs="Times New Roman"/>
          <w:sz w:val="28"/>
          <w:szCs w:val="28"/>
        </w:rPr>
        <w:t xml:space="preserve">của người tham gia bảo hiểm y tế </w:t>
      </w:r>
      <w:r>
        <w:rPr>
          <w:rFonts w:cs="Times New Roman"/>
          <w:sz w:val="28"/>
          <w:szCs w:val="28"/>
          <w:lang w:val="vi-VN"/>
        </w:rPr>
        <w:t>theo quy định của pháp luật về bảo hiểm y tế</w:t>
      </w:r>
      <w:r>
        <w:rPr>
          <w:rFonts w:cs="Times New Roman"/>
          <w:sz w:val="28"/>
          <w:szCs w:val="28"/>
        </w:rPr>
        <w:t xml:space="preserve"> phù hợp với khả năng cân đối của quỹ bảo hiểm y tế</w:t>
      </w:r>
      <w:r>
        <w:rPr>
          <w:rFonts w:cs="Times New Roman"/>
          <w:sz w:val="28"/>
          <w:szCs w:val="28"/>
          <w:lang w:val="vi-VN"/>
        </w:rPr>
        <w:t>.</w:t>
      </w:r>
    </w:p>
    <w:p>
      <w:pPr>
        <w:pStyle w:val="Normal"/>
        <w:spacing w:before="120" w:after="120"/>
        <w:ind w:firstLine="720"/>
        <w:jc w:val="both"/>
        <w:rPr>
          <w:rFonts w:ascii="Times New Roman" w:hAnsi="Times New Roman" w:cs="Times New Roman"/>
          <w:sz w:val="28"/>
          <w:szCs w:val="28"/>
        </w:rPr>
      </w:pPr>
      <w:r>
        <w:rPr>
          <w:rFonts w:cs="Times New Roman"/>
          <w:sz w:val="28"/>
          <w:szCs w:val="28"/>
        </w:rPr>
        <w:t xml:space="preserve">8. Bộ trưởng Bộ Y tế quy định các nội dung sau đây: </w:t>
      </w:r>
    </w:p>
    <w:p>
      <w:pPr>
        <w:pStyle w:val="Normal"/>
        <w:spacing w:before="120" w:after="120"/>
        <w:ind w:firstLine="720"/>
        <w:jc w:val="both"/>
        <w:rPr>
          <w:rFonts w:ascii="Times New Roman" w:hAnsi="Times New Roman" w:cs="Times New Roman"/>
          <w:sz w:val="28"/>
          <w:szCs w:val="28"/>
        </w:rPr>
      </w:pPr>
      <w:r>
        <w:rPr>
          <w:rFonts w:cs="Times New Roman"/>
          <w:sz w:val="28"/>
          <w:szCs w:val="28"/>
        </w:rPr>
        <w:t>a) Quy trình chuyên môn đối với khám sàng lọc, chẩn đoán sớm theo quy định tại Điều 4 Nghị định này, khám sức khỏe định kỳ, điều trị dinh dưỡng,</w:t>
      </w:r>
      <w:r>
        <w:rPr>
          <w:rFonts w:cs="Times New Roman"/>
          <w:sz w:val="28"/>
          <w:szCs w:val="28"/>
          <w:lang w:val="vi-VN"/>
        </w:rPr>
        <w:t xml:space="preserve"> điều trị dự phòng,</w:t>
      </w:r>
      <w:r>
        <w:rPr>
          <w:rFonts w:cs="Times New Roman"/>
          <w:sz w:val="28"/>
          <w:szCs w:val="28"/>
        </w:rPr>
        <w:t xml:space="preserve"> dịch vụ phòng bệnh, quản lý bệnh mạn tính theo quy định tại Điều này;</w:t>
      </w:r>
    </w:p>
    <w:p>
      <w:pPr>
        <w:pStyle w:val="Normal"/>
        <w:spacing w:before="120" w:after="120"/>
        <w:ind w:firstLine="720"/>
        <w:jc w:val="both"/>
        <w:rPr>
          <w:rFonts w:ascii="Times New Roman" w:hAnsi="Times New Roman" w:cs="Times New Roman"/>
          <w:sz w:val="28"/>
          <w:szCs w:val="28"/>
        </w:rPr>
      </w:pPr>
      <w:r>
        <w:rPr>
          <w:rFonts w:cs="Times New Roman"/>
          <w:sz w:val="28"/>
          <w:szCs w:val="28"/>
        </w:rPr>
        <w:t>b) Danh mục, tỷ lệ, mức, điều kiện thanh toán và việc thanh toán chi phí thuốc, thiết bị y tế, dịch vụ kỹ thuật y tế và các chi phí khác trong</w:t>
      </w:r>
      <w:r>
        <w:rPr>
          <w:rFonts w:cs="Times New Roman"/>
          <w:sz w:val="28"/>
          <w:szCs w:val="28"/>
          <w:lang w:val="vi-VN"/>
        </w:rPr>
        <w:t xml:space="preserve"> </w:t>
      </w:r>
      <w:r>
        <w:rPr>
          <w:rFonts w:cs="Times New Roman"/>
          <w:sz w:val="28"/>
          <w:szCs w:val="28"/>
        </w:rPr>
        <w:t>khám sức khỏe định kỳ, khám sàng lọc, chẩn đoán sớm</w:t>
      </w:r>
      <w:r>
        <w:rPr>
          <w:rFonts w:cs="Times New Roman"/>
          <w:sz w:val="28"/>
          <w:szCs w:val="28"/>
          <w:lang w:val="vi-VN"/>
        </w:rPr>
        <w:t xml:space="preserve">, </w:t>
      </w:r>
      <w:r>
        <w:rPr>
          <w:rFonts w:cs="Times New Roman"/>
          <w:sz w:val="28"/>
          <w:szCs w:val="28"/>
        </w:rPr>
        <w:t>điều trị dinh dưỡng,</w:t>
      </w:r>
      <w:r>
        <w:rPr>
          <w:rFonts w:cs="Times New Roman"/>
          <w:sz w:val="28"/>
          <w:szCs w:val="28"/>
          <w:lang w:val="vi-VN"/>
        </w:rPr>
        <w:t xml:space="preserve"> điều trị dự phòng,</w:t>
      </w:r>
      <w:r>
        <w:rPr>
          <w:rFonts w:cs="Times New Roman"/>
          <w:sz w:val="28"/>
          <w:szCs w:val="28"/>
        </w:rPr>
        <w:t xml:space="preserve"> dịch vụ phòng bệnh, quản lý bệnh mạn tính</w:t>
      </w:r>
      <w:r>
        <w:rPr>
          <w:rFonts w:cs="Times New Roman"/>
          <w:sz w:val="28"/>
          <w:szCs w:val="28"/>
          <w:lang w:val="vi-VN"/>
        </w:rPr>
        <w:t>,</w:t>
      </w:r>
      <w:r>
        <w:rPr>
          <w:rFonts w:cs="Times New Roman"/>
          <w:sz w:val="28"/>
          <w:szCs w:val="28"/>
        </w:rPr>
        <w:t xml:space="preserve"> khám bệnh, chữa bệnh thuộc phạm vi được hưởng của người tham gia bảo hiểm y tế</w:t>
      </w:r>
      <w:r>
        <w:rPr>
          <w:rFonts w:cs="Times New Roman"/>
          <w:sz w:val="28"/>
          <w:szCs w:val="28"/>
          <w:lang w:val="vi-VN"/>
        </w:rPr>
        <w:t xml:space="preserve"> quy định tại Điều này</w:t>
      </w:r>
      <w:r>
        <w:rPr>
          <w:rFonts w:cs="Times New Roman"/>
          <w:sz w:val="28"/>
          <w:szCs w:val="28"/>
        </w:rPr>
        <w:t xml:space="preserve"> theo quy định tại Điều 21 của Luật Bảo hiểm y tế;</w:t>
      </w:r>
    </w:p>
    <w:p>
      <w:pPr>
        <w:pStyle w:val="Normal"/>
        <w:spacing w:before="120" w:after="120"/>
        <w:ind w:firstLine="720"/>
        <w:jc w:val="both"/>
        <w:rPr>
          <w:rFonts w:ascii="Times New Roman" w:hAnsi="Times New Roman" w:cs="Times New Roman"/>
          <w:sz w:val="28"/>
          <w:szCs w:val="28"/>
        </w:rPr>
      </w:pPr>
      <w:r>
        <w:rPr>
          <w:rFonts w:cs="Times New Roman"/>
          <w:sz w:val="28"/>
          <w:szCs w:val="28"/>
        </w:rPr>
        <w:t>c) Các đối tượng và lộ trình cụ thể thực hiện khám sức khoẻ định kỳ, khám sàng lọc, quản lý bệnh mạn tính thuộc phạm vi thanh toán của Quỹ bảo hiểm y tế.</w:t>
      </w:r>
    </w:p>
    <w:p>
      <w:pPr>
        <w:pStyle w:val="Normal"/>
        <w:spacing w:before="120" w:after="120"/>
        <w:ind w:firstLine="720"/>
        <w:jc w:val="both"/>
        <w:rPr>
          <w:rFonts w:ascii="Times New Roman" w:hAnsi="Times New Roman" w:cs="Times New Roman"/>
          <w:b/>
          <w:sz w:val="28"/>
          <w:szCs w:val="28"/>
        </w:rPr>
      </w:pPr>
      <w:r>
        <w:rPr>
          <w:rFonts w:cs="Times New Roman"/>
          <w:b/>
          <w:sz w:val="28"/>
          <w:szCs w:val="28"/>
        </w:rPr>
        <w:t>Điều 6. Ngân sách nhà nước chi cho khám sức khỏe định kỳ, khám sàng lọc, chẩn đoán sớm một số bệnh</w:t>
      </w:r>
    </w:p>
    <w:p>
      <w:pPr>
        <w:pStyle w:val="Normal"/>
        <w:ind w:firstLine="720"/>
        <w:jc w:val="both"/>
        <w:rPr>
          <w:rFonts w:ascii="Times New Roman" w:hAnsi="Times New Roman" w:cs="Times New Roman"/>
          <w:sz w:val="28"/>
          <w:szCs w:val="28"/>
        </w:rPr>
      </w:pPr>
      <w:r>
        <w:rPr>
          <w:rFonts w:cs="Times New Roman"/>
          <w:sz w:val="28"/>
          <w:szCs w:val="28"/>
        </w:rPr>
        <w:t>1. Trường hợp Quỹ bảo hiểm y tế chưa đủ khả năng cân đối để chi cho khám sức khỏe định kỳ, khám sàng lọc, chẩn đoán sớm một số bệnh theo lộ trình quy định tại Nghị định này, Bộ Tài chính chủ trì, phối hợp với Bộ Y tế báo cáo Chính phủ để cấp từ nguồn ngân sách nhà nước vào quỹ bảo hiểm y tế để bổ sung cho phần kinh phí còn thiếu.</w:t>
      </w:r>
    </w:p>
    <w:p>
      <w:pPr>
        <w:pStyle w:val="Normal"/>
        <w:spacing w:before="120" w:after="120"/>
        <w:ind w:firstLine="720"/>
        <w:jc w:val="both"/>
        <w:rPr>
          <w:rFonts w:ascii="Times New Roman" w:hAnsi="Times New Roman" w:cs="Times New Roman"/>
          <w:sz w:val="28"/>
          <w:szCs w:val="28"/>
        </w:rPr>
      </w:pPr>
      <w:r>
        <w:rPr>
          <w:rFonts w:cs="Times New Roman"/>
          <w:sz w:val="28"/>
          <w:szCs w:val="28"/>
        </w:rPr>
        <w:t>2. Ngân sách nhà nước chi trả cho khám sức khỏe định kỳ hoặc khám sàng lọc miễn phí theo quy định tại khoản 1 Điều 72 Nghị định số 165/2026/NĐ-CP ngày 15 tháng 5 năm 2026 của Chính phủ quy định chi tiết và hướng dẫn thi hành một số điều của Luật Phòng bệnh được gửi vào Quỹ bảo hiểm y tế để chi cho các đối tượng</w:t>
      </w:r>
      <w:r>
        <w:rPr>
          <w:rFonts w:cs="Times New Roman"/>
          <w:sz w:val="28"/>
          <w:szCs w:val="28"/>
          <w:lang w:val="vi-VN"/>
        </w:rPr>
        <w:t xml:space="preserve"> </w:t>
      </w:r>
      <w:r>
        <w:rPr>
          <w:rFonts w:cs="Times New Roman"/>
          <w:sz w:val="28"/>
          <w:szCs w:val="28"/>
        </w:rPr>
        <w:t>thuộc</w:t>
      </w:r>
      <w:r>
        <w:rPr>
          <w:rFonts w:cs="Times New Roman"/>
          <w:sz w:val="28"/>
          <w:szCs w:val="28"/>
          <w:lang w:val="vi-VN"/>
        </w:rPr>
        <w:t xml:space="preserve"> phạm vi chi trả của ngân sách nhà nước</w:t>
      </w:r>
      <w:r>
        <w:rPr>
          <w:rFonts w:cs="Times New Roman"/>
          <w:sz w:val="28"/>
          <w:szCs w:val="28"/>
        </w:rPr>
        <w:t>. Nguồn kinh phí khám sức khỏe định kỳ</w:t>
      </w:r>
      <w:r>
        <w:rPr>
          <w:rFonts w:cs="Times New Roman"/>
          <w:sz w:val="28"/>
          <w:szCs w:val="28"/>
          <w:lang w:val="vi-VN"/>
        </w:rPr>
        <w:t>,</w:t>
      </w:r>
      <w:r>
        <w:rPr>
          <w:rFonts w:cs="Times New Roman"/>
          <w:sz w:val="28"/>
          <w:szCs w:val="28"/>
        </w:rPr>
        <w:t xml:space="preserve"> khám sàng lọc miễn phí được hình thành theo quy định tại khoản này được hoạch toán riêng so với</w:t>
      </w:r>
      <w:r>
        <w:rPr>
          <w:rFonts w:cs="Times New Roman"/>
          <w:sz w:val="28"/>
          <w:szCs w:val="28"/>
          <w:lang w:val="vi-VN"/>
        </w:rPr>
        <w:t xml:space="preserve"> nguồn </w:t>
      </w:r>
      <w:r>
        <w:rPr>
          <w:rFonts w:cs="Times New Roman"/>
          <w:sz w:val="28"/>
          <w:szCs w:val="28"/>
        </w:rPr>
        <w:t>Quỹ bảo hiểm y tế.</w:t>
      </w:r>
    </w:p>
    <w:p>
      <w:pPr>
        <w:pStyle w:val="Normal1"/>
        <w:spacing w:lineRule="auto" w:line="240" w:before="120" w:after="120"/>
        <w:jc w:val="center"/>
        <w:rPr>
          <w:rFonts w:ascii="Times New Roman" w:hAnsi="Times New Roman" w:cs="Times New Roman"/>
          <w:b/>
          <w:sz w:val="28"/>
          <w:szCs w:val="28"/>
        </w:rPr>
      </w:pPr>
      <w:r>
        <w:rPr>
          <w:rFonts w:cs="Times New Roman" w:ascii="Times New Roman" w:hAnsi="Times New Roman"/>
          <w:b/>
          <w:sz w:val="28"/>
          <w:szCs w:val="28"/>
          <w:lang w:val="vi-VN"/>
        </w:rPr>
        <w:t>Chương II</w:t>
      </w:r>
      <w:r>
        <w:rPr>
          <w:rFonts w:cs="Times New Roman" w:ascii="Times New Roman" w:hAnsi="Times New Roman"/>
          <w:b/>
          <w:sz w:val="28"/>
          <w:szCs w:val="28"/>
        </w:rPr>
        <w:t>I</w:t>
      </w:r>
    </w:p>
    <w:p>
      <w:pPr>
        <w:pStyle w:val="Normal1"/>
        <w:spacing w:lineRule="auto" w:line="240" w:before="120" w:after="120"/>
        <w:jc w:val="center"/>
        <w:rPr>
          <w:rFonts w:ascii="Times New Roman" w:hAnsi="Times New Roman" w:cs="Times New Roman"/>
          <w:b/>
          <w:sz w:val="28"/>
          <w:szCs w:val="28"/>
          <w:lang w:val="vi-VN"/>
        </w:rPr>
      </w:pPr>
      <w:r>
        <w:rPr>
          <w:rFonts w:cs="Times New Roman" w:ascii="Times New Roman" w:hAnsi="Times New Roman"/>
          <w:b/>
          <w:sz w:val="28"/>
          <w:szCs w:val="28"/>
          <w:lang w:val="vi-VN"/>
        </w:rPr>
        <w:t xml:space="preserve">MỨC ĐÓNG BẢO HIỂM Y TẾ </w:t>
      </w:r>
      <w:r>
        <w:rPr>
          <w:rFonts w:cs="Times New Roman" w:ascii="Times New Roman" w:hAnsi="Times New Roman"/>
          <w:b/>
          <w:sz w:val="28"/>
          <w:szCs w:val="28"/>
        </w:rPr>
        <w:t xml:space="preserve">THEO </w:t>
      </w:r>
      <w:r>
        <w:rPr>
          <w:rFonts w:cs="Times New Roman" w:ascii="Times New Roman" w:hAnsi="Times New Roman"/>
          <w:b/>
          <w:sz w:val="28"/>
          <w:szCs w:val="28"/>
          <w:lang w:val="vi-VN"/>
        </w:rPr>
        <w:t xml:space="preserve">LỘ TRÌNH </w:t>
      </w:r>
    </w:p>
    <w:p>
      <w:pPr>
        <w:pStyle w:val="Normal1"/>
        <w:spacing w:lineRule="auto" w:line="240" w:before="120" w:after="120"/>
        <w:jc w:val="both"/>
        <w:rPr>
          <w:rFonts w:ascii="Times New Roman" w:hAnsi="Times New Roman" w:eastAsia="Times New Roman" w:cs="Times New Roman"/>
          <w:b/>
          <w:sz w:val="28"/>
          <w:szCs w:val="28"/>
        </w:rPr>
      </w:pPr>
      <w:r>
        <w:rPr>
          <w:rFonts w:cs="Times New Roman" w:ascii="Times New Roman" w:hAnsi="Times New Roman"/>
          <w:b/>
          <w:sz w:val="28"/>
          <w:szCs w:val="28"/>
        </w:rPr>
        <w:tab/>
      </w:r>
      <w:r>
        <w:rPr>
          <w:rFonts w:eastAsia="Times New Roman" w:cs="Times New Roman" w:ascii="Times New Roman" w:hAnsi="Times New Roman"/>
          <w:b/>
          <w:sz w:val="28"/>
          <w:szCs w:val="28"/>
          <w:lang w:val="vi-VN"/>
        </w:rPr>
        <w:t xml:space="preserve">Điều </w:t>
      </w:r>
      <w:r>
        <w:rPr>
          <w:rFonts w:eastAsia="Times New Roman" w:cs="Times New Roman" w:ascii="Times New Roman" w:hAnsi="Times New Roman"/>
          <w:b/>
          <w:sz w:val="28"/>
          <w:szCs w:val="28"/>
        </w:rPr>
        <w:t>7</w:t>
      </w:r>
      <w:r>
        <w:rPr>
          <w:rFonts w:eastAsia="Times New Roman" w:cs="Times New Roman" w:ascii="Times New Roman" w:hAnsi="Times New Roman"/>
          <w:b/>
          <w:sz w:val="28"/>
          <w:szCs w:val="28"/>
          <w:lang w:val="vi-VN"/>
        </w:rPr>
        <w:t xml:space="preserve">. </w:t>
      </w:r>
      <w:r>
        <w:rPr>
          <w:rFonts w:eastAsia="Times New Roman" w:cs="Times New Roman" w:ascii="Times New Roman" w:hAnsi="Times New Roman"/>
          <w:b/>
          <w:sz w:val="28"/>
          <w:szCs w:val="28"/>
        </w:rPr>
        <w:t>Mức đóng bảo hiểm y tế</w:t>
      </w:r>
      <w:r>
        <w:rPr>
          <w:rFonts w:eastAsia="Times New Roman" w:cs="Times New Roman" w:ascii="Times New Roman" w:hAnsi="Times New Roman"/>
          <w:b/>
          <w:sz w:val="28"/>
          <w:szCs w:val="28"/>
          <w:lang w:val="vi-VN"/>
        </w:rPr>
        <w:t xml:space="preserve"> theo lộ trình</w:t>
      </w:r>
    </w:p>
    <w:p>
      <w:pPr>
        <w:pStyle w:val="Normal"/>
        <w:spacing w:before="120" w:after="120"/>
        <w:ind w:firstLine="720"/>
        <w:jc w:val="both"/>
        <w:rPr>
          <w:rFonts w:ascii="Times New Roman" w:hAnsi="Times New Roman" w:cs="Times New Roman"/>
          <w:sz w:val="28"/>
          <w:szCs w:val="28"/>
        </w:rPr>
      </w:pPr>
      <w:r>
        <w:rPr>
          <w:rFonts w:cs="Times New Roman"/>
          <w:sz w:val="28"/>
          <w:szCs w:val="28"/>
        </w:rPr>
        <w:t>1. Mức đóng do người sử dụng lao động đóng hoặc người lao động đóng hoặc cùng đóng được quy định như sau (tăng thêm 0,6%):</w:t>
      </w:r>
    </w:p>
    <w:p>
      <w:pPr>
        <w:pStyle w:val="Normal"/>
        <w:spacing w:before="120" w:after="120"/>
        <w:ind w:firstLine="720"/>
        <w:jc w:val="both"/>
        <w:rPr>
          <w:rFonts w:ascii="Times New Roman" w:hAnsi="Times New Roman" w:cs="Times New Roman"/>
          <w:sz w:val="28"/>
          <w:szCs w:val="28"/>
        </w:rPr>
      </w:pPr>
      <w:r>
        <w:rPr>
          <w:rFonts w:cs="Times New Roman"/>
          <w:sz w:val="28"/>
          <w:szCs w:val="28"/>
        </w:rPr>
        <w:t>a) Mức đóng hằng tháng của đối tượng quy định tại các điểm a, c, d, e, g và h khoản 1 Điều 12 của Luật Bảo hiểm y tế theo lộ trình như sau:</w:t>
      </w:r>
    </w:p>
    <w:p>
      <w:pPr>
        <w:pStyle w:val="Normal"/>
        <w:spacing w:before="120" w:after="120"/>
        <w:ind w:firstLine="720"/>
        <w:jc w:val="both"/>
        <w:rPr>
          <w:rFonts w:ascii="Times New Roman" w:hAnsi="Times New Roman" w:cs="Times New Roman"/>
          <w:sz w:val="28"/>
          <w:szCs w:val="28"/>
        </w:rPr>
      </w:pPr>
      <w:r>
        <w:rPr>
          <w:rFonts w:cs="Times New Roman"/>
          <w:sz w:val="28"/>
          <w:szCs w:val="28"/>
        </w:rPr>
        <w:t xml:space="preserve">- Từ ngày 01 tháng 7 năm 2027, mức đóng hằng tháng của đối tượng quy định tại các điểm c, e, g và h khoản 1 Điều 12 của Luật Bảo hiểm y tế bằng 5,1% tiền lương tháng làm căn cứ đóng bảo hiểm xã hội bắt buộc, trong đó người sử dụng lao động đóng hai phần ba và người lao động đóng một phần ba; </w:t>
      </w:r>
    </w:p>
    <w:p>
      <w:pPr>
        <w:pStyle w:val="Normal"/>
        <w:spacing w:before="120" w:after="120"/>
        <w:ind w:firstLine="720"/>
        <w:jc w:val="both"/>
        <w:rPr>
          <w:rFonts w:ascii="Times New Roman" w:hAnsi="Times New Roman" w:cs="Times New Roman"/>
          <w:sz w:val="28"/>
          <w:szCs w:val="28"/>
        </w:rPr>
      </w:pPr>
      <w:r>
        <w:rPr>
          <w:rFonts w:cs="Times New Roman"/>
          <w:sz w:val="28"/>
          <w:szCs w:val="28"/>
        </w:rPr>
        <w:t>- Từ ngày 01 tháng 7 năm 2028, mức đóng hằng tháng của đối tượng quy định tại các điểm a và d khoản 1 Điều 12 của Luật Bảo hiểm y tế bằng 5,1% tiền lương tháng làm căn cứ đóng bảo hiểm xã hội bắt buộc, trong đó người sử dụng lao động đóng hai phần ba và người lao động đóng một phần ba;</w:t>
      </w:r>
    </w:p>
    <w:p>
      <w:pPr>
        <w:pStyle w:val="Normal"/>
        <w:spacing w:before="120" w:after="120"/>
        <w:ind w:firstLine="720"/>
        <w:jc w:val="both"/>
        <w:rPr>
          <w:rFonts w:ascii="Times New Roman" w:hAnsi="Times New Roman" w:cs="Times New Roman"/>
          <w:sz w:val="28"/>
          <w:szCs w:val="28"/>
        </w:rPr>
      </w:pPr>
      <w:r>
        <w:rPr>
          <w:rFonts w:cs="Times New Roman"/>
          <w:sz w:val="28"/>
          <w:szCs w:val="28"/>
        </w:rPr>
        <w:t xml:space="preserve">b) Từ ngày 01 tháng 7 năm 2027, mức đóng hằng tháng của đối tượng quy định tại điểm b, đ khoản 1 Điều 12 của Luật Bảo hiểm y tế bằng 5,1% tiền lương tháng làm căn cứ đóng bảo hiểm xã hội bắt buộc và do đối tượng đóng; </w:t>
      </w:r>
    </w:p>
    <w:p>
      <w:pPr>
        <w:pStyle w:val="Normal"/>
        <w:spacing w:before="120" w:after="120"/>
        <w:ind w:firstLine="720"/>
        <w:jc w:val="both"/>
        <w:rPr>
          <w:rFonts w:ascii="Times New Roman" w:hAnsi="Times New Roman" w:cs="Times New Roman"/>
          <w:sz w:val="28"/>
          <w:szCs w:val="28"/>
        </w:rPr>
      </w:pPr>
      <w:r>
        <w:rPr>
          <w:rFonts w:cs="Times New Roman"/>
          <w:sz w:val="28"/>
          <w:szCs w:val="28"/>
        </w:rPr>
        <w:t>c) Từ ngày 01 tháng 7 năm 2027, mức đóng hằng tháng của đối tượng quy định tại điểm i khoản 1 Điều 12 của Luật Bảo hiểm y tế bằng 5,1% mức lương cơ sở và do người sử dụng lao động của công nhân và viên chức quốc phòng đang phục vụ trong quân đội, người sử dụng lao động của công nhân công an đang công tác trong công an nhân dân đóng;</w:t>
      </w:r>
    </w:p>
    <w:p>
      <w:pPr>
        <w:pStyle w:val="Normal"/>
        <w:spacing w:before="120" w:after="120"/>
        <w:ind w:firstLine="720"/>
        <w:jc w:val="both"/>
        <w:rPr>
          <w:rFonts w:ascii="Times New Roman" w:hAnsi="Times New Roman" w:cs="Times New Roman"/>
          <w:sz w:val="28"/>
          <w:szCs w:val="28"/>
        </w:rPr>
      </w:pPr>
      <w:r>
        <w:rPr>
          <w:rFonts w:cs="Times New Roman"/>
          <w:sz w:val="28"/>
          <w:szCs w:val="28"/>
        </w:rPr>
        <w:t>d) Từ ngày 01 tháng 7 năm 2027, mức đóng hằng tháng của đối tượng quy định tại khoản 5 Điều 5 của Nghị định số 188/2025/NĐ-CP ngày 01 tháng 7 năm 2025 quy định chi tiết và hướng dẫn thi hành một số điều của Luật Bảo hiểm y tế bằng 5,1% mức lương cơ sở và do người sử dụng lao động của người làm công tác khác trong tổ chức cơ yếu theo quy định của pháp luật về cơ yếu đóng;</w:t>
      </w:r>
    </w:p>
    <w:p>
      <w:pPr>
        <w:pStyle w:val="Normal"/>
        <w:spacing w:before="120" w:after="120"/>
        <w:ind w:firstLine="720"/>
        <w:jc w:val="both"/>
        <w:rPr>
          <w:rFonts w:ascii="Times New Roman" w:hAnsi="Times New Roman" w:cs="Times New Roman"/>
          <w:sz w:val="28"/>
          <w:szCs w:val="28"/>
        </w:rPr>
      </w:pPr>
      <w:r>
        <w:rPr>
          <w:rFonts w:cs="Times New Roman"/>
          <w:sz w:val="28"/>
          <w:szCs w:val="28"/>
        </w:rPr>
        <w:t>đ) Từ ngày 01 tháng 7 năm 2027, người lao động là cán bộ, công chức, viên chức đang trong thời gian bị tạm giữ, tạm giam, tạm đình chỉ công tác hoặc tạm đình chỉ chức vụ mà chưa bị xử lý kỷ luật thì mức đóng hằng tháng bằng 5,1% của 50% mức tiền lương tháng làm căn cứ đóng bảo hiểm xã hội bắt buộc của người lao động của tháng liền kề trước khi bị tạm giam, tạm giữ hoặc tạm đình chỉ theo quy định của pháp luật, trong đó người sử dụng lao động đóng hai phần ba và người lao động đóng một phần ba. Trường hợp cơ quan có thẩm quyền kết luận là không vi phạm pháp luật, người sử dụng lao động và người lao động phải truy đóng bảo hiểm y tế trên số tiền lương được truy lĩnh.</w:t>
      </w:r>
    </w:p>
    <w:p>
      <w:pPr>
        <w:pStyle w:val="Normal"/>
        <w:spacing w:before="120" w:after="120"/>
        <w:ind w:firstLine="720"/>
        <w:jc w:val="both"/>
        <w:rPr>
          <w:rFonts w:ascii="Times New Roman" w:hAnsi="Times New Roman" w:cs="Times New Roman"/>
          <w:sz w:val="28"/>
          <w:szCs w:val="28"/>
        </w:rPr>
      </w:pPr>
      <w:r>
        <w:rPr>
          <w:rFonts w:cs="Times New Roman"/>
          <w:sz w:val="28"/>
          <w:szCs w:val="28"/>
        </w:rPr>
        <w:t>2. Từ ngày 01 tháng 7 năm 2027, mức đóng do cơ quan bảo hiểm xã hội đóng được quy định như sau (tăng thêm 0,6%):</w:t>
      </w:r>
    </w:p>
    <w:p>
      <w:pPr>
        <w:pStyle w:val="Normal"/>
        <w:spacing w:before="120" w:after="120"/>
        <w:ind w:firstLine="720"/>
        <w:jc w:val="both"/>
        <w:rPr>
          <w:rFonts w:ascii="Times New Roman" w:hAnsi="Times New Roman" w:cs="Times New Roman"/>
          <w:sz w:val="28"/>
          <w:szCs w:val="28"/>
        </w:rPr>
      </w:pPr>
      <w:r>
        <w:rPr>
          <w:rFonts w:cs="Times New Roman"/>
          <w:sz w:val="28"/>
          <w:szCs w:val="28"/>
        </w:rPr>
        <w:t>a) Mức đóng hằng tháng của đối tượng quy định tại điểm a khoản 2 Điều 12 của Luật Bảo hiểm y tế bằng 5,1% tiền lương hưu hoặc trợ cấp mất sức lao động;</w:t>
      </w:r>
    </w:p>
    <w:p>
      <w:pPr>
        <w:pStyle w:val="Normal"/>
        <w:spacing w:before="120" w:after="120"/>
        <w:ind w:firstLine="720"/>
        <w:jc w:val="both"/>
        <w:rPr>
          <w:rFonts w:ascii="Times New Roman" w:hAnsi="Times New Roman" w:cs="Times New Roman"/>
          <w:sz w:val="28"/>
          <w:szCs w:val="28"/>
        </w:rPr>
      </w:pPr>
      <w:r>
        <w:rPr>
          <w:rFonts w:cs="Times New Roman"/>
          <w:sz w:val="28"/>
          <w:szCs w:val="28"/>
        </w:rPr>
        <w:t>b) Mức đóng hằng tháng của đối tượng quy định tại các điểm b và c khoản 2 Điều 12 của Luật Bảo hiểm y tế và khoản 1 Điều 5 Nghị định này bằng 5,1% mức lương cơ sở;</w:t>
      </w:r>
    </w:p>
    <w:p>
      <w:pPr>
        <w:pStyle w:val="Normal"/>
        <w:spacing w:before="120" w:after="120"/>
        <w:ind w:firstLine="720"/>
        <w:jc w:val="both"/>
        <w:rPr>
          <w:rFonts w:ascii="Times New Roman" w:hAnsi="Times New Roman" w:cs="Times New Roman"/>
          <w:sz w:val="28"/>
          <w:szCs w:val="28"/>
        </w:rPr>
      </w:pPr>
      <w:r>
        <w:rPr>
          <w:rFonts w:cs="Times New Roman"/>
          <w:sz w:val="28"/>
          <w:szCs w:val="28"/>
        </w:rPr>
        <w:t>c) Mức đóng hằng tháng của đối tượng quy định tại điểm d khoản 2 Điều 12 của Luật Bảo hiểm y tế bằng 5,1% tiền trợ cấp thất nghiệp.</w:t>
      </w:r>
    </w:p>
    <w:p>
      <w:pPr>
        <w:pStyle w:val="Normal"/>
        <w:spacing w:before="120" w:after="120"/>
        <w:ind w:firstLine="720"/>
        <w:jc w:val="both"/>
        <w:rPr>
          <w:rFonts w:ascii="Times New Roman" w:hAnsi="Times New Roman" w:cs="Times New Roman"/>
          <w:sz w:val="28"/>
          <w:szCs w:val="28"/>
        </w:rPr>
      </w:pPr>
      <w:r>
        <w:rPr>
          <w:rFonts w:cs="Times New Roman"/>
          <w:sz w:val="28"/>
          <w:szCs w:val="28"/>
        </w:rPr>
        <w:t>3. Từ ngày 01 tháng 7 năm 2027, mức đóng của nhóm do ngân sách nhà nước đóng được quy định như sau (tăng thêm 0,6%):</w:t>
      </w:r>
    </w:p>
    <w:p>
      <w:pPr>
        <w:pStyle w:val="Normal"/>
        <w:spacing w:before="120" w:after="120"/>
        <w:ind w:firstLine="720"/>
        <w:jc w:val="both"/>
        <w:rPr>
          <w:rFonts w:ascii="Times New Roman" w:hAnsi="Times New Roman" w:cs="Times New Roman"/>
          <w:sz w:val="28"/>
          <w:szCs w:val="28"/>
        </w:rPr>
      </w:pPr>
      <w:r>
        <w:rPr>
          <w:rFonts w:cs="Times New Roman"/>
          <w:sz w:val="28"/>
          <w:szCs w:val="28"/>
        </w:rPr>
        <w:t>a) Mức đóng hằng tháng của đối tượng quy định tại các điểm e, g, h, i, k, l, m, o, p, q, r, s, t và u khoản 3 Điều 12 của Luật Bảo hiểm y tế và các khoản 2, 3, 6 và 7 Điều 5 Nghị định số 188/2025/NĐ-CP bằng 5,1% mức lương cơ sở;</w:t>
      </w:r>
    </w:p>
    <w:p>
      <w:pPr>
        <w:pStyle w:val="Normal"/>
        <w:spacing w:before="120" w:after="120"/>
        <w:ind w:firstLine="720"/>
        <w:jc w:val="both"/>
        <w:rPr>
          <w:rFonts w:ascii="Times New Roman" w:hAnsi="Times New Roman" w:cs="Times New Roman"/>
          <w:sz w:val="28"/>
          <w:szCs w:val="28"/>
        </w:rPr>
      </w:pPr>
      <w:r>
        <w:rPr>
          <w:rFonts w:cs="Times New Roman"/>
          <w:sz w:val="28"/>
          <w:szCs w:val="28"/>
        </w:rPr>
        <w:t>b) Mức đóng hằng tháng của đối tượng quy định tại điểm n khoản 3 Điều 12 của Luật Bảo hiểm y tế bằng 5,1% mức lương cơ sở và đóng thông qua cơ quan, tổ chức, đơn vị cấp học bổng.</w:t>
      </w:r>
    </w:p>
    <w:p>
      <w:pPr>
        <w:pStyle w:val="Normal"/>
        <w:spacing w:before="120" w:after="120"/>
        <w:ind w:firstLine="720"/>
        <w:jc w:val="both"/>
        <w:rPr>
          <w:rFonts w:ascii="Times New Roman" w:hAnsi="Times New Roman" w:cs="Times New Roman"/>
          <w:sz w:val="28"/>
          <w:szCs w:val="28"/>
        </w:rPr>
      </w:pPr>
      <w:r>
        <w:rPr>
          <w:rFonts w:cs="Times New Roman"/>
          <w:sz w:val="28"/>
          <w:szCs w:val="28"/>
        </w:rPr>
        <w:t>4. Từ ngày 01 tháng 01 năm 2028, mức đóng của nhóm do ngân sách nhà nước hỗ trợ mức đóng được quy định như sau (tăng thêm 0,6%):</w:t>
      </w:r>
    </w:p>
    <w:p>
      <w:pPr>
        <w:pStyle w:val="Normal"/>
        <w:spacing w:before="120" w:after="120"/>
        <w:ind w:firstLine="720"/>
        <w:jc w:val="both"/>
        <w:rPr>
          <w:sz w:val="28"/>
          <w:szCs w:val="28"/>
        </w:rPr>
      </w:pPr>
      <w:r>
        <w:rPr>
          <w:rFonts w:cs="Times New Roman"/>
          <w:sz w:val="28"/>
          <w:szCs w:val="28"/>
        </w:rPr>
        <w:t>Mức đóng hằng tháng của đối tượng quy định tại khoản 4 Điều 12 của Luật Bảo hiểm y tế và khoản 4 Điều 5 Nghị định số 188/2025/NĐ-CP bằng 5,1% mức lương cơ sở do đối tượng tự đóng và được ngân sách nhà nước hỗ trợ một phần mức đóng theo quy định tại Điều 6 Nghị định số 188/2025/NĐ-CP.</w:t>
      </w:r>
    </w:p>
    <w:p>
      <w:pPr>
        <w:pStyle w:val="Normal"/>
        <w:spacing w:before="120" w:after="120"/>
        <w:ind w:firstLine="720"/>
        <w:jc w:val="both"/>
        <w:rPr>
          <w:sz w:val="28"/>
          <w:szCs w:val="28"/>
        </w:rPr>
      </w:pPr>
      <w:r>
        <w:rPr>
          <w:rFonts w:cs="Times New Roman"/>
          <w:sz w:val="28"/>
          <w:szCs w:val="28"/>
        </w:rPr>
        <w:t>5. Từ ngày 01 tháng 01 năm 2028, mức đóng hằng tháng của đối tượng quy định tại khoản 5 Điều 12 của Luật Bảo hiểm y tế được quy định như sau (tăng thêm 0,6%):</w:t>
      </w:r>
    </w:p>
    <w:p>
      <w:pPr>
        <w:pStyle w:val="Normal"/>
        <w:spacing w:before="120" w:after="120"/>
        <w:ind w:firstLine="720"/>
        <w:jc w:val="both"/>
        <w:rPr>
          <w:sz w:val="28"/>
          <w:szCs w:val="28"/>
        </w:rPr>
      </w:pPr>
      <w:r>
        <w:rPr>
          <w:rFonts w:cs="Times New Roman"/>
          <w:sz w:val="28"/>
          <w:szCs w:val="28"/>
        </w:rPr>
        <w:t>a) Mức đóng hằng tháng của đối tượng quy định tại khoản 5 Điều 12 của Luật Bảo hiểm y tế bằng 5,1% mức lương cơ sở và do đối tượng đóng theo hộ gia đình hoặc tự đóng theo cá nhân tham gia;</w:t>
      </w:r>
    </w:p>
    <w:p>
      <w:pPr>
        <w:pStyle w:val="Normal"/>
        <w:spacing w:before="120" w:after="120"/>
        <w:ind w:firstLine="720"/>
        <w:jc w:val="both"/>
        <w:rPr>
          <w:rFonts w:ascii="Times New Roman" w:hAnsi="Times New Roman" w:cs="Times New Roman"/>
          <w:sz w:val="28"/>
          <w:szCs w:val="28"/>
        </w:rPr>
      </w:pPr>
      <w:r>
        <w:rPr>
          <w:rFonts w:cs="Times New Roman"/>
          <w:sz w:val="28"/>
          <w:szCs w:val="28"/>
        </w:rPr>
        <w:t>b) Thành viên hộ gia đình quy định tại điểm a khoản 5 Điều 12 của Luật Bảo hiểm y tế cùng tham gia bảo hiểm y tế theo hình thức hộ gia đình trong năm tài chính thì được giảm trừ mức đóng như sau: người thứ nhất đóng bằng 5,1% mức lương cơ sở; người thứ hai, thứ ba, thứ tư đóng lần lượt bằng 70%, 60%, 50% mức đóng của người thứ nhất; từ người thứ năm trở đi đóng bằng 40% mức đóng của người thứ nhất.</w:t>
      </w:r>
    </w:p>
    <w:p>
      <w:pPr>
        <w:pStyle w:val="Normal"/>
        <w:spacing w:before="120" w:after="120"/>
        <w:ind w:firstLine="720"/>
        <w:jc w:val="both"/>
        <w:rPr>
          <w:rFonts w:ascii="Times New Roman" w:hAnsi="Times New Roman" w:cs="Times New Roman"/>
          <w:sz w:val="28"/>
          <w:szCs w:val="28"/>
        </w:rPr>
      </w:pPr>
      <w:r>
        <w:rPr>
          <w:rFonts w:cs="Times New Roman"/>
          <w:sz w:val="28"/>
          <w:szCs w:val="28"/>
        </w:rPr>
        <w:t>6. Sau 03 năm kể từ ngày thực hiện mức đóng quy định tại các khoản 1, 2, 3, 4, 5 Điều này, mức đóng bảo hiểm y tế của các đối tượng quy định tại các khoản 1, 2, 3, 4, 5 Điều này bằng 5,4%</w:t>
      </w:r>
      <w:r>
        <w:rPr>
          <w:rFonts w:cs="Times New Roman"/>
          <w:sz w:val="28"/>
          <w:szCs w:val="28"/>
          <w:lang w:val="vi-VN"/>
        </w:rPr>
        <w:t xml:space="preserve"> mức tiền lương, tiền công, trợ cấp, mức lương cơ sở</w:t>
      </w:r>
      <w:r>
        <w:rPr>
          <w:rFonts w:cs="Times New Roman"/>
          <w:sz w:val="28"/>
          <w:szCs w:val="28"/>
        </w:rPr>
        <w:t xml:space="preserve"> </w:t>
      </w:r>
      <w:r>
        <w:rPr>
          <w:rFonts w:cs="Times New Roman"/>
          <w:sz w:val="28"/>
          <w:szCs w:val="28"/>
          <w:lang w:val="vi-VN"/>
        </w:rPr>
        <w:t>làm căn cứ đóng bảo hiểm y tế</w:t>
      </w:r>
      <w:r>
        <w:rPr>
          <w:rFonts w:cs="Times New Roman"/>
          <w:sz w:val="28"/>
          <w:szCs w:val="28"/>
        </w:rPr>
        <w:t xml:space="preserve"> (tăng thêm 0,3%). </w:t>
      </w:r>
    </w:p>
    <w:p>
      <w:pPr>
        <w:pStyle w:val="Normal"/>
        <w:spacing w:before="120" w:after="120"/>
        <w:ind w:firstLine="720"/>
        <w:jc w:val="both"/>
        <w:rPr>
          <w:rFonts w:ascii="Times New Roman" w:hAnsi="Times New Roman" w:cs="Times New Roman"/>
          <w:sz w:val="28"/>
          <w:szCs w:val="28"/>
        </w:rPr>
      </w:pPr>
      <w:r>
        <w:rPr>
          <w:rFonts w:cs="Times New Roman"/>
          <w:sz w:val="28"/>
          <w:szCs w:val="28"/>
        </w:rPr>
        <w:t xml:space="preserve">7. Sau 03 năm kể từ ngày thực hiện mức đóng quy định tại khoản 6 Điều này, mức đóng bảo hiểm y tế của các đối tượng quy định tại các khoản 1, 2, 3, 4, 5 Điều này bằng 6% </w:t>
      </w:r>
      <w:r>
        <w:rPr>
          <w:rFonts w:cs="Times New Roman"/>
          <w:sz w:val="28"/>
          <w:szCs w:val="28"/>
          <w:lang w:val="vi-VN"/>
        </w:rPr>
        <w:t>mức tiền lương, tiền công, trợ cấp, mức lương cơ sở</w:t>
      </w:r>
      <w:r>
        <w:rPr>
          <w:rFonts w:cs="Times New Roman"/>
          <w:sz w:val="28"/>
          <w:szCs w:val="28"/>
        </w:rPr>
        <w:t xml:space="preserve"> </w:t>
      </w:r>
      <w:r>
        <w:rPr>
          <w:rFonts w:cs="Times New Roman"/>
          <w:sz w:val="28"/>
          <w:szCs w:val="28"/>
          <w:lang w:val="vi-VN"/>
        </w:rPr>
        <w:t>làm căn cứ đóng bảo hiểm y tế</w:t>
      </w:r>
      <w:r>
        <w:rPr>
          <w:rFonts w:cs="Times New Roman"/>
          <w:sz w:val="28"/>
          <w:szCs w:val="28"/>
        </w:rPr>
        <w:t xml:space="preserve"> (tăng thêm 0,6%). </w:t>
      </w:r>
    </w:p>
    <w:p>
      <w:pPr>
        <w:pStyle w:val="Normal"/>
        <w:shd w:val="clear" w:color="auto" w:fill="FFFFFF" w:themeFill="background1"/>
        <w:spacing w:before="120" w:after="120"/>
        <w:ind w:firstLine="567"/>
        <w:jc w:val="both"/>
        <w:rPr>
          <w:rFonts w:ascii="Times New Roman" w:hAnsi="Times New Roman" w:eastAsia="Arial" w:cs="Times New Roman"/>
          <w:b/>
          <w:bCs/>
          <w:color w:themeColor="text1" w:val="000000"/>
          <w:sz w:val="28"/>
          <w:szCs w:val="28"/>
        </w:rPr>
      </w:pPr>
      <w:r>
        <w:rPr>
          <w:rFonts w:eastAsia="Arial" w:cs="Times New Roman"/>
          <w:b/>
          <w:bCs/>
          <w:color w:themeColor="text1" w:val="000000"/>
          <w:sz w:val="28"/>
          <w:szCs w:val="28"/>
          <w:lang w:val="vi-VN"/>
        </w:rPr>
        <w:t xml:space="preserve">Điều </w:t>
      </w:r>
      <w:r>
        <w:rPr>
          <w:rFonts w:eastAsia="Arial" w:cs="Times New Roman"/>
          <w:b/>
          <w:bCs/>
          <w:color w:themeColor="text1" w:val="000000"/>
          <w:sz w:val="28"/>
          <w:szCs w:val="28"/>
        </w:rPr>
        <w:t>8</w:t>
      </w:r>
      <w:r>
        <w:rPr>
          <w:rFonts w:eastAsia="Arial" w:cs="Times New Roman"/>
          <w:b/>
          <w:bCs/>
          <w:color w:themeColor="text1" w:val="000000"/>
          <w:sz w:val="28"/>
          <w:szCs w:val="28"/>
          <w:lang w:val="vi-VN"/>
        </w:rPr>
        <w:t xml:space="preserve">. Mức hỗ trợ đóng bảo hiểm y tế cho một số đối tượng </w:t>
      </w:r>
      <w:r>
        <w:rPr>
          <w:rFonts w:eastAsia="Arial" w:cs="Times New Roman"/>
          <w:b/>
          <w:bCs/>
          <w:color w:themeColor="text1" w:val="000000"/>
          <w:sz w:val="28"/>
          <w:szCs w:val="28"/>
        </w:rPr>
        <w:t>và hỗ trợ chi phí cùng chi trả cho người tham gia bảo hiểm y tế</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rPr>
      </w:pPr>
      <w:r>
        <w:rPr>
          <w:rFonts w:cs="Times New Roman"/>
          <w:color w:themeColor="text1" w:val="000000"/>
          <w:sz w:val="28"/>
          <w:szCs w:val="28"/>
          <w:lang w:val="vi-VN"/>
        </w:rPr>
        <w:t xml:space="preserve">1. </w:t>
      </w:r>
      <w:r>
        <w:rPr>
          <w:rFonts w:cs="Times New Roman"/>
          <w:color w:themeColor="text1" w:val="000000"/>
          <w:sz w:val="28"/>
          <w:szCs w:val="28"/>
        </w:rPr>
        <w:t>Ngân sách nhà nước hỗ trợ đóng bảo hiểm y tế cho một số đối tượng tham gia bảo hiểm y tế như sau:</w:t>
      </w:r>
    </w:p>
    <w:p>
      <w:pPr>
        <w:pStyle w:val="Normal"/>
        <w:shd w:val="clear" w:color="auto" w:fill="FFFFFF" w:themeFill="background1"/>
        <w:spacing w:before="120" w:after="120"/>
        <w:ind w:firstLine="567"/>
        <w:jc w:val="both"/>
        <w:rPr>
          <w:rFonts w:ascii="Times New Roman" w:hAnsi="Times New Roman" w:cs="Times New Roman"/>
          <w:color w:themeColor="text1" w:val="000000"/>
          <w:spacing w:val="-4"/>
          <w:sz w:val="28"/>
          <w:szCs w:val="28"/>
          <w:lang w:val="vi-VN"/>
        </w:rPr>
      </w:pPr>
      <w:r>
        <w:rPr>
          <w:rFonts w:cs="Times New Roman"/>
          <w:color w:themeColor="text1" w:val="000000"/>
          <w:spacing w:val="-4"/>
          <w:sz w:val="28"/>
          <w:szCs w:val="28"/>
        </w:rPr>
        <w:t xml:space="preserve">a) </w:t>
      </w:r>
      <w:r>
        <w:rPr>
          <w:rFonts w:cs="Times New Roman"/>
          <w:color w:themeColor="text1" w:val="000000"/>
          <w:spacing w:val="-4"/>
          <w:sz w:val="28"/>
          <w:szCs w:val="28"/>
          <w:lang w:val="pt-BR"/>
        </w:rPr>
        <w:t xml:space="preserve">Hỗ trợ </w:t>
      </w:r>
      <w:r>
        <w:rPr>
          <w:rFonts w:cs="Times New Roman"/>
          <w:color w:themeColor="text1" w:val="000000"/>
          <w:spacing w:val="-4"/>
          <w:sz w:val="28"/>
          <w:szCs w:val="28"/>
          <w:lang w:val="vi-VN"/>
        </w:rPr>
        <w:t>10</w:t>
      </w:r>
      <w:r>
        <w:rPr>
          <w:rFonts w:cs="Times New Roman"/>
          <w:color w:themeColor="text1" w:val="000000"/>
          <w:spacing w:val="-4"/>
          <w:sz w:val="28"/>
          <w:szCs w:val="28"/>
          <w:lang w:val="pt-BR"/>
        </w:rPr>
        <w:t xml:space="preserve">0% mức đóng bảo hiểm y tế đối với </w:t>
      </w:r>
      <w:r>
        <w:rPr>
          <w:rFonts w:cs="Times New Roman"/>
          <w:color w:themeColor="text1" w:val="000000"/>
          <w:spacing w:val="-4"/>
          <w:sz w:val="28"/>
          <w:szCs w:val="28"/>
          <w:lang w:val="vi-VN"/>
        </w:rPr>
        <w:t xml:space="preserve">người khuyết tật nhẹ thuộc hộ gia đình cận nghèo </w:t>
      </w:r>
      <w:r>
        <w:rPr>
          <w:rFonts w:cs="Times New Roman"/>
          <w:color w:themeColor="text1" w:val="000000"/>
          <w:spacing w:val="-4"/>
          <w:sz w:val="28"/>
          <w:szCs w:val="28"/>
          <w:lang w:val="pt-BR"/>
        </w:rPr>
        <w:t>quy định tại điểm a khoản 4 Điều 12 của Luật Bảo hiểm y tế</w:t>
      </w:r>
      <w:r>
        <w:rPr>
          <w:rFonts w:cs="Times New Roman"/>
          <w:color w:themeColor="text1" w:val="000000"/>
          <w:spacing w:val="-4"/>
          <w:sz w:val="28"/>
          <w:szCs w:val="28"/>
          <w:lang w:val="vi-VN"/>
        </w:rPr>
        <w:t>.</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lang w:val="vi-VN"/>
        </w:rPr>
      </w:pPr>
      <w:r>
        <w:rPr>
          <w:rFonts w:cs="Times New Roman"/>
          <w:color w:themeColor="text1" w:val="000000"/>
          <w:sz w:val="28"/>
          <w:szCs w:val="28"/>
        </w:rPr>
        <w:t xml:space="preserve">b) </w:t>
      </w:r>
      <w:r>
        <w:rPr>
          <w:rFonts w:cs="Times New Roman"/>
          <w:color w:themeColor="text1" w:val="000000"/>
          <w:sz w:val="28"/>
          <w:szCs w:val="28"/>
          <w:lang w:val="pt-BR"/>
        </w:rPr>
        <w:t xml:space="preserve">Hỗ trợ tối thiểu </w:t>
      </w:r>
      <w:r>
        <w:rPr>
          <w:rFonts w:cs="Times New Roman"/>
          <w:color w:themeColor="text1" w:val="000000"/>
          <w:sz w:val="28"/>
          <w:szCs w:val="28"/>
          <w:lang w:val="vi-VN"/>
        </w:rPr>
        <w:t>8</w:t>
      </w:r>
      <w:r>
        <w:rPr>
          <w:rFonts w:cs="Times New Roman"/>
          <w:color w:themeColor="text1" w:val="000000"/>
          <w:sz w:val="28"/>
          <w:szCs w:val="28"/>
          <w:lang w:val="pt-BR"/>
        </w:rPr>
        <w:t>0% mức đóng bảo hiểm y tế đối với đối tượng thuộc</w:t>
      </w:r>
      <w:r>
        <w:rPr>
          <w:rFonts w:cs="Times New Roman"/>
          <w:color w:themeColor="text1" w:val="000000"/>
          <w:sz w:val="28"/>
          <w:szCs w:val="28"/>
          <w:lang w:val="vi-VN"/>
        </w:rPr>
        <w:t xml:space="preserve"> h</w:t>
      </w:r>
      <w:r>
        <w:rPr>
          <w:rFonts w:cs="Times New Roman"/>
          <w:color w:themeColor="text1" w:val="000000"/>
          <w:sz w:val="28"/>
          <w:szCs w:val="28"/>
        </w:rPr>
        <w:t>ộ</w:t>
      </w:r>
      <w:r>
        <w:rPr>
          <w:rFonts w:cs="Times New Roman"/>
          <w:color w:themeColor="text1" w:val="000000"/>
          <w:sz w:val="28"/>
          <w:szCs w:val="28"/>
          <w:lang w:val="vi-VN"/>
        </w:rPr>
        <w:t xml:space="preserve"> gia đình cận nghèo </w:t>
      </w:r>
      <w:r>
        <w:rPr>
          <w:rFonts w:cs="Times New Roman"/>
          <w:color w:themeColor="text1" w:val="000000"/>
          <w:sz w:val="28"/>
          <w:szCs w:val="28"/>
          <w:lang w:val="pt-BR"/>
        </w:rPr>
        <w:t>quy định tại điểm a khoản 4 Điều 12 của Luật Bảo hiểm y tế</w:t>
      </w:r>
      <w:r>
        <w:rPr>
          <w:rFonts w:cs="Times New Roman"/>
          <w:color w:themeColor="text1" w:val="000000"/>
          <w:sz w:val="28"/>
          <w:szCs w:val="28"/>
          <w:lang w:val="vi-VN"/>
        </w:rPr>
        <w:t>.</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lang w:val="vi-VN"/>
        </w:rPr>
      </w:pPr>
      <w:r>
        <w:rPr>
          <w:rFonts w:cs="Times New Roman"/>
          <w:color w:themeColor="text1" w:val="000000"/>
          <w:sz w:val="28"/>
          <w:szCs w:val="28"/>
        </w:rPr>
        <w:t>c)</w:t>
      </w:r>
      <w:r>
        <w:rPr>
          <w:rFonts w:cs="Times New Roman"/>
          <w:color w:themeColor="text1" w:val="000000"/>
          <w:sz w:val="28"/>
          <w:szCs w:val="28"/>
          <w:lang w:val="vi-VN"/>
        </w:rPr>
        <w:t xml:space="preserve"> Hỗ trợ tối thiểu 70% mức đóng bảo hiểm y tế đối với đối tượng học sinh, sinh viên quy định tại điểm b khoản 4 Điều 12 Luật Bảo hiểm y tế.</w:t>
      </w:r>
    </w:p>
    <w:p>
      <w:pPr>
        <w:pStyle w:val="Normal"/>
        <w:shd w:val="clear" w:color="auto" w:fill="FFFFFF" w:themeFill="background1"/>
        <w:spacing w:before="120" w:after="120"/>
        <w:ind w:firstLine="567"/>
        <w:jc w:val="both"/>
        <w:rPr>
          <w:rFonts w:ascii="Times New Roman" w:hAnsi="Times New Roman" w:cs="Times New Roman"/>
          <w:color w:themeColor="text1" w:val="000000"/>
          <w:spacing w:val="-2"/>
          <w:sz w:val="28"/>
          <w:szCs w:val="28"/>
          <w:lang w:val="vi-VN"/>
        </w:rPr>
      </w:pPr>
      <w:r>
        <w:rPr>
          <w:rFonts w:cs="Times New Roman"/>
          <w:color w:themeColor="text1" w:val="000000"/>
          <w:spacing w:val="-2"/>
          <w:sz w:val="28"/>
          <w:szCs w:val="28"/>
        </w:rPr>
        <w:t>d)</w:t>
      </w:r>
      <w:r>
        <w:rPr>
          <w:rFonts w:cs="Times New Roman"/>
          <w:color w:themeColor="text1" w:val="000000"/>
          <w:spacing w:val="-2"/>
          <w:sz w:val="28"/>
          <w:szCs w:val="28"/>
          <w:lang w:val="vi-VN"/>
        </w:rPr>
        <w:t xml:space="preserve"> Hỗ trợ tối thiểu 50% mức đóng đối với đối tượng thuộc hộ gia đình có mức sống trung bình quy định tại điểm d khoản 4 Điều 12 của Luật Bảo hiểm y tế.</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lang w:val="vi-VN"/>
        </w:rPr>
      </w:pPr>
      <w:r>
        <w:rPr>
          <w:rFonts w:cs="Times New Roman"/>
          <w:color w:themeColor="text1" w:val="000000"/>
          <w:sz w:val="28"/>
          <w:szCs w:val="28"/>
        </w:rPr>
        <w:t>đ)</w:t>
      </w:r>
      <w:r>
        <w:rPr>
          <w:rFonts w:cs="Times New Roman"/>
          <w:color w:themeColor="text1" w:val="000000"/>
          <w:sz w:val="28"/>
          <w:szCs w:val="28"/>
          <w:lang w:val="vi-VN"/>
        </w:rPr>
        <w:t xml:space="preserve"> Hỗ trợ tối thiểu 50% mức đóng bảo hiểm y tế đối với người được nuôi dưỡng, chăm sóc trong các tổ chức, cơ sở từ thiện, tôn giáo theo quy định tại điểm b khoản 5 Điều 12 Luật Bảo hiểm y tế.</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rPr>
      </w:pPr>
      <w:r>
        <w:rPr>
          <w:rFonts w:cs="Times New Roman"/>
          <w:color w:themeColor="text1" w:val="000000"/>
          <w:sz w:val="28"/>
          <w:szCs w:val="28"/>
        </w:rPr>
        <w:t xml:space="preserve">2. Ngoài mức hỗ trợ quy định tại Khoản 1 Điều này, căn cứ </w:t>
      </w:r>
      <w:r>
        <w:rPr>
          <w:rFonts w:cs="Times New Roman"/>
          <w:sz w:val="28"/>
          <w:szCs w:val="28"/>
          <w:lang w:val="vi-VN"/>
        </w:rPr>
        <w:t xml:space="preserve">điều kiện kinh tế, xã hội, khả năng cân đối </w:t>
      </w:r>
      <w:r>
        <w:rPr>
          <w:rFonts w:cs="Times New Roman"/>
          <w:color w:themeColor="text1" w:val="000000"/>
          <w:sz w:val="28"/>
          <w:szCs w:val="28"/>
        </w:rPr>
        <w:t xml:space="preserve">ngân sách của địa phương và các nguồn kinh phí hợp pháp khác, </w:t>
      </w:r>
      <w:r>
        <w:rPr>
          <w:rFonts w:cs="Times New Roman"/>
          <w:sz w:val="28"/>
          <w:szCs w:val="28"/>
          <w:lang w:val="vi-VN"/>
        </w:rPr>
        <w:t>Chính quyền địa phương</w:t>
      </w:r>
      <w:r>
        <w:rPr>
          <w:rFonts w:cs="Times New Roman"/>
          <w:color w:themeColor="text1" w:val="000000"/>
          <w:sz w:val="28"/>
          <w:szCs w:val="28"/>
        </w:rPr>
        <w:t xml:space="preserve"> xem xét, quyết định hỗ trợ thêm như sau:</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rPr>
      </w:pPr>
      <w:r>
        <w:rPr>
          <w:rFonts w:cs="Times New Roman"/>
          <w:color w:themeColor="text1" w:val="000000"/>
          <w:sz w:val="28"/>
          <w:szCs w:val="28"/>
        </w:rPr>
        <w:t>a) Mức hỗ trợ đóng bảo hiểm y tế cao hơn mức hỗ trợ tối thiểu quy định tại Nghị định này, ưu tiên các đối tượng theo quy định tại khoản 3 Điều này;</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rPr>
      </w:pPr>
      <w:r>
        <w:rPr>
          <w:rFonts w:cs="Times New Roman"/>
          <w:color w:themeColor="text1" w:val="000000"/>
          <w:sz w:val="28"/>
          <w:szCs w:val="28"/>
        </w:rPr>
        <w:t>b) Mức hỗ trợ đóng bảo hiểm y tế cho các đối tượng không được hưởng mức hỗ trợ quy định tại Nghị định này;</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lang w:val="vi-VN"/>
        </w:rPr>
      </w:pPr>
      <w:r>
        <w:rPr>
          <w:rFonts w:cs="Times New Roman"/>
          <w:color w:themeColor="text1" w:val="000000"/>
          <w:sz w:val="28"/>
          <w:szCs w:val="28"/>
        </w:rPr>
        <w:t>c) Mức hỗ</w:t>
      </w:r>
      <w:r>
        <w:rPr>
          <w:rFonts w:cs="Times New Roman"/>
          <w:color w:themeColor="text1" w:val="000000"/>
          <w:sz w:val="28"/>
          <w:szCs w:val="28"/>
          <w:lang w:val="vi-VN"/>
        </w:rPr>
        <w:t xml:space="preserve"> trợ chi phí </w:t>
      </w:r>
      <w:r>
        <w:rPr>
          <w:rFonts w:cs="Times New Roman"/>
          <w:color w:themeColor="text1" w:val="000000"/>
          <w:sz w:val="28"/>
          <w:szCs w:val="28"/>
        </w:rPr>
        <w:t>cùng</w:t>
      </w:r>
      <w:r>
        <w:rPr>
          <w:rFonts w:cs="Times New Roman"/>
          <w:color w:themeColor="text1" w:val="000000"/>
          <w:sz w:val="28"/>
          <w:szCs w:val="28"/>
          <w:lang w:val="vi-VN"/>
        </w:rPr>
        <w:t xml:space="preserve"> chi trả, chi phí khám bệnh, chữa bệnh ngoài phạm vi được hưởng của người tham gia bảo hiểm y tế.</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rPr>
      </w:pPr>
      <w:r>
        <w:rPr>
          <w:rFonts w:cs="Times New Roman"/>
          <w:color w:themeColor="text1" w:val="000000"/>
          <w:sz w:val="28"/>
          <w:szCs w:val="28"/>
        </w:rPr>
        <w:t>3. Các đối tượng ưu tiên quy định tại khoản 2 Điều này bao gồm:</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rPr>
      </w:pPr>
      <w:r>
        <w:rPr>
          <w:rFonts w:cs="Times New Roman"/>
          <w:color w:themeColor="text1" w:val="000000"/>
          <w:sz w:val="28"/>
          <w:szCs w:val="28"/>
        </w:rPr>
        <w:t>a) Người thuộc hộ gia đình cận nghèo; người tham gia lực lượng tham gia bảo vệ an ninh, trật tự ở cơ sở; nhân viên y tế thôn, bản; cô đỡ thôn, bản; người dân tộc thiểu số đang sinh sống tại các xã được xác định không còn thuộc vùng có điều kiện kinh tế - xã hội khó khăn, đặc biệt khó khăn và người khuyết tật, người cao tuổi theo Luật người cao tuổi chưa được hưởng chính sách bảo hiểm y tế, một số đối tượng đặc thù theo quy định của địa phương bảo đảm đạt mục tiêu 100% các đối tượng này tham gia bảo hiểm y tế.</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rPr>
      </w:pPr>
      <w:r>
        <w:rPr>
          <w:rFonts w:cs="Times New Roman"/>
          <w:color w:themeColor="text1" w:val="000000"/>
          <w:sz w:val="28"/>
          <w:szCs w:val="28"/>
        </w:rPr>
        <w:t>b) Người thuộc hộ gia đình làm nông nghiệp, lâm nghiệp, ngư nghiệp và diêm nghiệp có mức sống trung bình theo quy định của pháp luật; học sinh, sinh viên, người hoạt động không chuyên trách ở thôn, tổ dân phố theo quy định của pháp luật; người được tặng danh hiệu Nghệ nhân nhân dân, Nghệ nhân ưu tú theo quy định của Luật Di sản văn hóa; nạn nhân theo quy định của Luật Phòng, chống mua bán người để tăng tỷ lệ tham gia bảo hiểm y tế của các nhóm đối tượng này.</w:t>
      </w:r>
    </w:p>
    <w:p>
      <w:pPr>
        <w:pStyle w:val="Normal"/>
        <w:shd w:val="clear" w:color="auto" w:fill="FFFFFF" w:themeFill="background1"/>
        <w:spacing w:before="120" w:after="120"/>
        <w:ind w:firstLine="567"/>
        <w:jc w:val="both"/>
        <w:rPr>
          <w:rFonts w:ascii="Times New Roman" w:hAnsi="Times New Roman" w:cs="Times New Roman"/>
          <w:color w:themeColor="text1" w:val="000000"/>
          <w:sz w:val="28"/>
          <w:szCs w:val="28"/>
          <w:lang w:val="vi-VN"/>
        </w:rPr>
      </w:pPr>
      <w:r>
        <w:rPr>
          <w:rFonts w:cs="Times New Roman"/>
          <w:color w:themeColor="text1" w:val="000000"/>
          <w:sz w:val="28"/>
          <w:szCs w:val="28"/>
        </w:rPr>
        <w:t>4</w:t>
      </w:r>
      <w:r>
        <w:rPr>
          <w:rFonts w:cs="Times New Roman"/>
          <w:color w:themeColor="text1" w:val="000000"/>
          <w:sz w:val="28"/>
          <w:szCs w:val="28"/>
          <w:lang w:val="vi-VN"/>
        </w:rPr>
        <w:t xml:space="preserve">. </w:t>
      </w:r>
      <w:r>
        <w:rPr>
          <w:rFonts w:cs="Times New Roman"/>
          <w:color w:themeColor="text1" w:val="000000"/>
          <w:sz w:val="28"/>
          <w:szCs w:val="28"/>
        </w:rPr>
        <w:t>T</w:t>
      </w:r>
      <w:r>
        <w:rPr>
          <w:rFonts w:cs="Times New Roman"/>
          <w:color w:themeColor="text1" w:val="000000"/>
          <w:sz w:val="28"/>
          <w:szCs w:val="28"/>
          <w:lang w:val="vi-VN"/>
        </w:rPr>
        <w:t>ổ chức, cá nhân, doanh nghiệp</w:t>
      </w:r>
      <w:r>
        <w:rPr>
          <w:rFonts w:cs="Times New Roman"/>
          <w:color w:themeColor="text1" w:val="000000"/>
          <w:sz w:val="28"/>
          <w:szCs w:val="28"/>
        </w:rPr>
        <w:t xml:space="preserve"> theo khả năng thực tế</w:t>
      </w:r>
      <w:r>
        <w:rPr>
          <w:rFonts w:cs="Times New Roman"/>
          <w:color w:themeColor="text1" w:val="000000"/>
          <w:sz w:val="28"/>
          <w:szCs w:val="28"/>
          <w:lang w:val="vi-VN"/>
        </w:rPr>
        <w:t xml:space="preserve"> hỗ trợ đóng bảo hiểm y tế cho các đối tượng tham gia bảo hiểm y tế ngoài mức hỗ trợ từ ngân sách nhà nước quy định tại Nghị định này; hỗ trợ chi phí đồng chi trả, chi phí khám bệnh, chữa bệnh ngoài phạm vi được hưởng của người tham gia bảo hiểm y tế. Kinh phí hỗ trợ được gửi trực tiếp vào tài khoản của Quỹ bảo hiểm y tế và được hạch toán riêng.</w:t>
      </w:r>
    </w:p>
    <w:p>
      <w:pPr>
        <w:pStyle w:val="Normal"/>
        <w:shd w:val="clear" w:color="auto" w:fill="FFFFFF" w:themeFill="background1"/>
        <w:spacing w:before="240" w:after="0"/>
        <w:jc w:val="center"/>
        <w:rPr>
          <w:rFonts w:ascii="Times New Roman" w:hAnsi="Times New Roman" w:cs="Times New Roman"/>
          <w:b/>
          <w:bCs/>
          <w:color w:themeColor="text1" w:val="000000"/>
          <w:sz w:val="28"/>
          <w:szCs w:val="28"/>
        </w:rPr>
      </w:pPr>
      <w:r>
        <w:rPr>
          <w:rFonts w:cs="Times New Roman"/>
          <w:b/>
          <w:bCs/>
          <w:color w:themeColor="text1" w:val="000000"/>
          <w:sz w:val="28"/>
          <w:szCs w:val="28"/>
          <w:lang w:val="vi-VN"/>
        </w:rPr>
        <w:t xml:space="preserve">Chương </w:t>
      </w:r>
      <w:r>
        <w:rPr>
          <w:rFonts w:cs="Times New Roman"/>
          <w:b/>
          <w:bCs/>
          <w:color w:themeColor="text1" w:val="000000"/>
          <w:sz w:val="28"/>
          <w:szCs w:val="28"/>
        </w:rPr>
        <w:t>IV</w:t>
      </w:r>
    </w:p>
    <w:p>
      <w:pPr>
        <w:pStyle w:val="Normal"/>
        <w:shd w:val="clear" w:color="auto" w:fill="FFFFFF" w:themeFill="background1"/>
        <w:spacing w:before="120" w:after="0"/>
        <w:jc w:val="center"/>
        <w:rPr>
          <w:rFonts w:ascii="Times New Roman" w:hAnsi="Times New Roman" w:cs="Times New Roman"/>
          <w:b/>
          <w:bCs/>
          <w:color w:themeColor="text1" w:val="000000"/>
          <w:sz w:val="28"/>
          <w:szCs w:val="28"/>
          <w:lang w:val="vi-VN"/>
        </w:rPr>
      </w:pPr>
      <w:r>
        <w:rPr>
          <w:rFonts w:cs="Times New Roman"/>
          <w:b/>
          <w:bCs/>
          <w:color w:themeColor="text1" w:val="000000"/>
          <w:sz w:val="28"/>
          <w:szCs w:val="28"/>
          <w:lang w:val="vi-VN"/>
        </w:rPr>
        <w:t>ĐIỀU KHOẢN THI HÀNH</w:t>
      </w:r>
      <w:bookmarkEnd w:id="1"/>
    </w:p>
    <w:p>
      <w:pPr>
        <w:pStyle w:val="Normal"/>
        <w:shd w:val="clear" w:color="auto" w:fill="FFFFFF" w:themeFill="background1"/>
        <w:spacing w:before="120" w:after="120"/>
        <w:ind w:firstLine="567"/>
        <w:jc w:val="both"/>
        <w:rPr>
          <w:rFonts w:ascii="Times New Roman" w:hAnsi="Times New Roman" w:cs="Times New Roman"/>
          <w:b/>
          <w:color w:themeColor="text1" w:val="000000"/>
          <w:kern w:val="2"/>
          <w:sz w:val="28"/>
          <w:szCs w:val="28"/>
          <w:lang w:val="pt-BR"/>
        </w:rPr>
      </w:pPr>
      <w:r>
        <w:rPr>
          <w:rFonts w:cs="Times New Roman"/>
          <w:b/>
          <w:color w:themeColor="text1" w:val="000000"/>
          <w:kern w:val="2"/>
          <w:sz w:val="28"/>
          <w:szCs w:val="28"/>
          <w:lang w:val="pt-BR"/>
        </w:rPr>
        <w:t xml:space="preserve">Điều </w:t>
      </w:r>
      <w:r>
        <w:rPr>
          <w:rFonts w:cs="Times New Roman"/>
          <w:b/>
          <w:color w:themeColor="text1" w:val="000000"/>
          <w:kern w:val="2"/>
          <w:sz w:val="28"/>
          <w:szCs w:val="28"/>
        </w:rPr>
        <w:t>9</w:t>
      </w:r>
      <w:r>
        <w:rPr>
          <w:rFonts w:cs="Times New Roman"/>
          <w:b/>
          <w:color w:themeColor="text1" w:val="000000"/>
          <w:kern w:val="2"/>
          <w:sz w:val="28"/>
          <w:szCs w:val="28"/>
          <w:lang w:val="pt-BR"/>
        </w:rPr>
        <w:t>. Điều khoản thi hành</w:t>
      </w:r>
    </w:p>
    <w:p>
      <w:pPr>
        <w:pStyle w:val="Normal"/>
        <w:shd w:val="clear" w:color="auto" w:fill="FFFFFF" w:themeFill="background1"/>
        <w:tabs>
          <w:tab w:val="clear" w:pos="720"/>
          <w:tab w:val="left" w:pos="567" w:leader="none"/>
        </w:tabs>
        <w:spacing w:before="120" w:after="120"/>
        <w:jc w:val="both"/>
        <w:rPr>
          <w:rFonts w:ascii="Times New Roman" w:hAnsi="Times New Roman" w:cs="Times New Roman"/>
          <w:kern w:val="2"/>
          <w:sz w:val="28"/>
          <w:szCs w:val="28"/>
        </w:rPr>
      </w:pPr>
      <w:r>
        <w:rPr>
          <w:rFonts w:cs="Times New Roman"/>
          <w:color w:themeColor="text1" w:val="000000"/>
          <w:kern w:val="2"/>
          <w:sz w:val="28"/>
          <w:szCs w:val="28"/>
        </w:rPr>
        <w:tab/>
        <w:t>1</w:t>
      </w:r>
      <w:r>
        <w:rPr>
          <w:rFonts w:cs="Times New Roman"/>
          <w:color w:themeColor="text1" w:val="000000"/>
          <w:kern w:val="2"/>
          <w:sz w:val="28"/>
          <w:szCs w:val="28"/>
          <w:lang w:val="vi-VN"/>
        </w:rPr>
        <w:t xml:space="preserve">. </w:t>
      </w:r>
      <w:r>
        <w:rPr>
          <w:rFonts w:cs="Times New Roman"/>
          <w:color w:themeColor="text1" w:val="000000"/>
          <w:kern w:val="2"/>
          <w:sz w:val="28"/>
          <w:szCs w:val="28"/>
        </w:rPr>
        <w:t xml:space="preserve">Nghị định này có hiệu lực từ ngày 01 tháng 4 năm 2027. </w:t>
      </w:r>
      <w:r>
        <w:rPr>
          <w:rFonts w:cs="Times New Roman"/>
          <w:kern w:val="2"/>
          <w:sz w:val="28"/>
          <w:szCs w:val="28"/>
        </w:rPr>
        <w:t>Quy định về khám sức khỏe định kỳ có hiệu lực từ ngày 01 tháng 01 năm 2027.</w:t>
      </w:r>
    </w:p>
    <w:p>
      <w:pPr>
        <w:pStyle w:val="Normal"/>
        <w:shd w:val="clear" w:color="auto" w:fill="FFFFFF" w:themeFill="background1"/>
        <w:tabs>
          <w:tab w:val="clear" w:pos="720"/>
          <w:tab w:val="left" w:pos="567" w:leader="none"/>
        </w:tabs>
        <w:spacing w:before="120" w:after="120"/>
        <w:jc w:val="both"/>
        <w:rPr>
          <w:rFonts w:ascii="Times New Roman" w:hAnsi="Times New Roman" w:cs="Times New Roman"/>
          <w:color w:themeColor="text1" w:val="000000"/>
          <w:kern w:val="2"/>
          <w:sz w:val="28"/>
          <w:szCs w:val="28"/>
        </w:rPr>
      </w:pPr>
      <w:r>
        <w:rPr>
          <w:rFonts w:cs="Times New Roman"/>
          <w:color w:themeColor="text1" w:val="000000"/>
          <w:kern w:val="2"/>
          <w:sz w:val="28"/>
          <w:szCs w:val="28"/>
        </w:rPr>
        <w:tab/>
        <w:tab/>
        <w:t>2</w:t>
      </w:r>
      <w:r>
        <w:rPr>
          <w:rFonts w:cs="Times New Roman"/>
          <w:color w:themeColor="text1" w:val="000000"/>
          <w:kern w:val="2"/>
          <w:sz w:val="28"/>
          <w:szCs w:val="28"/>
          <w:lang w:val="vi-VN"/>
        </w:rPr>
        <w:t>. Sửa đổi, b</w:t>
      </w:r>
      <w:r>
        <w:rPr>
          <w:rFonts w:cs="Times New Roman"/>
          <w:color w:themeColor="text1" w:val="000000"/>
          <w:kern w:val="2"/>
          <w:sz w:val="28"/>
          <w:szCs w:val="28"/>
        </w:rPr>
        <w:t>ổ sung một</w:t>
      </w:r>
      <w:r>
        <w:rPr>
          <w:rFonts w:cs="Times New Roman"/>
          <w:color w:themeColor="text1" w:val="000000"/>
          <w:kern w:val="2"/>
          <w:sz w:val="28"/>
          <w:szCs w:val="28"/>
          <w:lang w:val="vi-VN"/>
        </w:rPr>
        <w:t xml:space="preserve"> số điều khoản của</w:t>
      </w:r>
      <w:r>
        <w:rPr>
          <w:rFonts w:cs="Times New Roman"/>
          <w:color w:themeColor="text1" w:val="000000"/>
          <w:kern w:val="2"/>
          <w:sz w:val="28"/>
          <w:szCs w:val="28"/>
        </w:rPr>
        <w:t xml:space="preserve"> Nghị định số 188/2025/NĐ-CP ngày 01 tháng 7 năm 2025 của Chính phủ quy định chi tiết và hướng dẫn thi hành một số điều của Luật Bảo hiểm y tế như sau:</w:t>
      </w:r>
    </w:p>
    <w:p>
      <w:pPr>
        <w:pStyle w:val="Normal"/>
        <w:shd w:val="clear" w:color="auto" w:fill="FFFFFF" w:themeFill="background1"/>
        <w:tabs>
          <w:tab w:val="clear" w:pos="720"/>
          <w:tab w:val="left" w:pos="567" w:leader="none"/>
        </w:tabs>
        <w:spacing w:before="120" w:after="120"/>
        <w:jc w:val="both"/>
        <w:rPr>
          <w:rFonts w:ascii="Times New Roman" w:hAnsi="Times New Roman" w:cs="Times New Roman"/>
          <w:color w:themeColor="text1" w:val="000000"/>
          <w:kern w:val="2"/>
          <w:sz w:val="28"/>
          <w:szCs w:val="28"/>
          <w:lang w:val="vi-VN"/>
        </w:rPr>
      </w:pPr>
      <w:r>
        <w:rPr>
          <w:rFonts w:cs="Times New Roman"/>
          <w:color w:themeColor="text1" w:val="000000"/>
          <w:kern w:val="2"/>
          <w:sz w:val="28"/>
          <w:szCs w:val="28"/>
        </w:rPr>
        <w:tab/>
        <w:t>a</w:t>
      </w:r>
      <w:r>
        <w:rPr>
          <w:rFonts w:cs="Times New Roman"/>
          <w:color w:themeColor="text1" w:val="000000"/>
          <w:kern w:val="2"/>
          <w:sz w:val="28"/>
          <w:szCs w:val="28"/>
          <w:lang w:val="vi-VN"/>
        </w:rPr>
        <w:t xml:space="preserve">) Sửa đổi mức “ Trích 5% </w:t>
      </w:r>
      <w:r>
        <w:rPr>
          <w:rFonts w:cs="Times New Roman"/>
          <w:color w:themeColor="text1" w:val="000000"/>
          <w:kern w:val="2"/>
          <w:sz w:val="28"/>
          <w:szCs w:val="28"/>
        </w:rPr>
        <w:t>số thu bảo hiểm y tế</w:t>
      </w:r>
      <w:r>
        <w:rPr>
          <w:rFonts w:cs="Times New Roman"/>
          <w:color w:themeColor="text1" w:val="000000"/>
          <w:kern w:val="2"/>
          <w:sz w:val="28"/>
          <w:szCs w:val="28"/>
          <w:lang w:val="vi-VN"/>
        </w:rPr>
        <w:t>” tại điểm a Khoản 1 Điều 62 như sau: “</w:t>
      </w:r>
      <w:r>
        <w:rPr>
          <w:rFonts w:cs="Times New Roman"/>
          <w:color w:themeColor="text1" w:val="000000"/>
          <w:kern w:val="2"/>
          <w:sz w:val="28"/>
          <w:szCs w:val="28"/>
        </w:rPr>
        <w:t>Trích từ</w:t>
      </w:r>
      <w:r>
        <w:rPr>
          <w:rFonts w:cs="Times New Roman"/>
          <w:color w:themeColor="text1" w:val="000000"/>
          <w:kern w:val="2"/>
          <w:sz w:val="28"/>
          <w:szCs w:val="28"/>
          <w:lang w:val="vi-VN"/>
        </w:rPr>
        <w:t xml:space="preserve"> </w:t>
      </w:r>
      <w:r>
        <w:rPr>
          <w:rFonts w:cs="Times New Roman"/>
          <w:color w:themeColor="text1" w:val="000000"/>
          <w:kern w:val="2"/>
          <w:sz w:val="28"/>
          <w:szCs w:val="28"/>
        </w:rPr>
        <w:t>5%</w:t>
      </w:r>
      <w:r>
        <w:rPr>
          <w:rFonts w:cs="Times New Roman"/>
          <w:color w:themeColor="text1" w:val="000000"/>
          <w:kern w:val="2"/>
          <w:sz w:val="28"/>
          <w:szCs w:val="28"/>
          <w:lang w:val="vi-VN"/>
        </w:rPr>
        <w:t xml:space="preserve"> đến 10%</w:t>
      </w:r>
      <w:r>
        <w:rPr>
          <w:rFonts w:cs="Times New Roman"/>
          <w:color w:themeColor="text1" w:val="000000"/>
          <w:kern w:val="2"/>
          <w:sz w:val="28"/>
          <w:szCs w:val="28"/>
        </w:rPr>
        <w:t xml:space="preserve"> số thu bảo hiểm y tế</w:t>
      </w:r>
      <w:r>
        <w:rPr>
          <w:rFonts w:cs="Times New Roman"/>
          <w:color w:themeColor="text1" w:val="000000"/>
          <w:kern w:val="2"/>
          <w:sz w:val="28"/>
          <w:szCs w:val="28"/>
          <w:lang w:val="vi-VN"/>
        </w:rPr>
        <w:t>”.</w:t>
      </w:r>
    </w:p>
    <w:p>
      <w:pPr>
        <w:pStyle w:val="Normal"/>
        <w:shd w:val="clear" w:color="auto" w:fill="FFFFFF" w:themeFill="background1"/>
        <w:tabs>
          <w:tab w:val="clear" w:pos="720"/>
          <w:tab w:val="left" w:pos="567" w:leader="none"/>
        </w:tabs>
        <w:spacing w:before="120" w:after="120"/>
        <w:jc w:val="both"/>
        <w:rPr>
          <w:rFonts w:ascii="Times New Roman" w:hAnsi="Times New Roman" w:cs="Times New Roman"/>
          <w:color w:themeColor="text1" w:val="000000"/>
          <w:kern w:val="2"/>
          <w:sz w:val="28"/>
          <w:szCs w:val="28"/>
        </w:rPr>
      </w:pPr>
      <w:r>
        <w:rPr>
          <w:rFonts w:cs="Times New Roman"/>
          <w:color w:themeColor="text1" w:val="000000"/>
          <w:kern w:val="2"/>
          <w:sz w:val="28"/>
          <w:szCs w:val="28"/>
        </w:rPr>
        <w:tab/>
        <w:t>b</w:t>
      </w:r>
      <w:r>
        <w:rPr>
          <w:rFonts w:cs="Times New Roman"/>
          <w:color w:themeColor="text1" w:val="000000"/>
          <w:kern w:val="2"/>
          <w:sz w:val="28"/>
          <w:szCs w:val="28"/>
          <w:lang w:val="vi-VN"/>
        </w:rPr>
        <w:t>) Sửa đổi, b</w:t>
      </w:r>
      <w:r>
        <w:rPr>
          <w:rFonts w:cs="Times New Roman"/>
          <w:color w:themeColor="text1" w:val="000000"/>
          <w:kern w:val="2"/>
          <w:sz w:val="28"/>
          <w:szCs w:val="28"/>
        </w:rPr>
        <w:t xml:space="preserve">ổ sung điểm d vào sau điểm c khoản 2 Điều 63 như sau: </w:t>
      </w:r>
    </w:p>
    <w:p>
      <w:pPr>
        <w:pStyle w:val="Normal"/>
        <w:shd w:val="clear" w:color="auto" w:fill="FFFFFF" w:themeFill="background1"/>
        <w:tabs>
          <w:tab w:val="clear" w:pos="720"/>
          <w:tab w:val="left" w:pos="567" w:leader="none"/>
        </w:tabs>
        <w:spacing w:before="120" w:after="120"/>
        <w:jc w:val="both"/>
        <w:rPr>
          <w:rFonts w:ascii="Times New Roman" w:hAnsi="Times New Roman" w:cs="Times New Roman"/>
          <w:color w:themeColor="text1" w:val="000000"/>
          <w:kern w:val="2"/>
          <w:sz w:val="28"/>
          <w:szCs w:val="28"/>
        </w:rPr>
      </w:pPr>
      <w:r>
        <w:rPr>
          <w:rFonts w:cs="Times New Roman"/>
          <w:color w:themeColor="text1" w:val="000000"/>
          <w:kern w:val="2"/>
          <w:sz w:val="28"/>
          <w:szCs w:val="28"/>
        </w:rPr>
        <w:tab/>
        <w:t>“d) Chi cho khám sức khỏe định k</w:t>
      </w:r>
      <w:bookmarkStart w:id="2" w:name="_GoBack"/>
      <w:bookmarkEnd w:id="2"/>
      <w:r>
        <w:rPr>
          <w:rFonts w:cs="Times New Roman"/>
          <w:color w:themeColor="text1" w:val="000000"/>
          <w:kern w:val="2"/>
          <w:sz w:val="28"/>
          <w:szCs w:val="28"/>
        </w:rPr>
        <w:t>ỳ đối với trẻ em, học sinh, sinh viên.”;</w:t>
      </w:r>
    </w:p>
    <w:p>
      <w:pPr>
        <w:pStyle w:val="Normal"/>
        <w:shd w:val="clear" w:color="auto" w:fill="FFFFFF" w:themeFill="background1"/>
        <w:tabs>
          <w:tab w:val="clear" w:pos="720"/>
          <w:tab w:val="left" w:pos="567" w:leader="none"/>
        </w:tabs>
        <w:spacing w:before="120" w:after="120"/>
        <w:jc w:val="both"/>
        <w:rPr>
          <w:rFonts w:ascii="Times New Roman" w:hAnsi="Times New Roman" w:cs="Times New Roman"/>
          <w:color w:themeColor="text1" w:val="000000"/>
          <w:kern w:val="2"/>
          <w:sz w:val="28"/>
          <w:szCs w:val="28"/>
        </w:rPr>
      </w:pPr>
      <w:r>
        <w:rPr>
          <w:rFonts w:cs="Times New Roman"/>
          <w:color w:themeColor="text1" w:val="000000"/>
          <w:kern w:val="2"/>
          <w:sz w:val="28"/>
          <w:szCs w:val="28"/>
        </w:rPr>
        <w:tab/>
        <w:t>3. Các điều khoản sau đây của Nghị định số 188/2025/NĐ-CP ngày 01 tháng 7 năm 2025 của Chính phủ quy định chi tiết và hướng dẫn thi hành một số điều của Luật Bảo hiểm y tế hết hiệu lực kể từ khi Nghị định này có hiệu lực:</w:t>
      </w:r>
    </w:p>
    <w:p>
      <w:pPr>
        <w:pStyle w:val="ListParagraph"/>
        <w:numPr>
          <w:ilvl w:val="0"/>
          <w:numId w:val="1"/>
        </w:numPr>
        <w:shd w:val="clear" w:color="auto" w:fill="FFFFFF" w:themeFill="background1"/>
        <w:tabs>
          <w:tab w:val="clear" w:pos="720"/>
          <w:tab w:val="left" w:pos="993" w:leader="none"/>
        </w:tabs>
        <w:spacing w:before="120" w:after="120"/>
        <w:ind w:firstLine="567" w:left="0"/>
        <w:contextualSpacing w:val="false"/>
        <w:jc w:val="both"/>
        <w:rPr>
          <w:rFonts w:ascii="Times New Roman" w:hAnsi="Times New Roman" w:cs="Times New Roman"/>
          <w:color w:themeColor="text1" w:val="000000"/>
          <w:kern w:val="2"/>
          <w:sz w:val="28"/>
          <w:szCs w:val="28"/>
          <w:lang w:val="vi-VN"/>
        </w:rPr>
      </w:pPr>
      <w:r>
        <w:rPr>
          <w:rFonts w:cs="Times New Roman"/>
          <w:color w:themeColor="text1" w:val="000000"/>
          <w:kern w:val="2"/>
          <w:sz w:val="28"/>
          <w:szCs w:val="28"/>
        </w:rPr>
        <w:t>…</w:t>
      </w:r>
      <w:r>
        <w:rPr>
          <w:rFonts w:cs="Times New Roman"/>
          <w:color w:themeColor="text1" w:val="000000"/>
          <w:kern w:val="2"/>
          <w:sz w:val="28"/>
          <w:szCs w:val="28"/>
        </w:rPr>
        <w:t>;</w:t>
      </w:r>
    </w:p>
    <w:p>
      <w:pPr>
        <w:pStyle w:val="ListParagraph"/>
        <w:numPr>
          <w:ilvl w:val="0"/>
          <w:numId w:val="1"/>
        </w:numPr>
        <w:shd w:val="clear" w:color="auto" w:fill="FFFFFF" w:themeFill="background1"/>
        <w:tabs>
          <w:tab w:val="clear" w:pos="720"/>
          <w:tab w:val="left" w:pos="993" w:leader="none"/>
        </w:tabs>
        <w:spacing w:before="120" w:after="120"/>
        <w:ind w:firstLine="567" w:left="0"/>
        <w:contextualSpacing w:val="false"/>
        <w:jc w:val="both"/>
        <w:rPr>
          <w:rFonts w:ascii="Times New Roman" w:hAnsi="Times New Roman" w:cs="Times New Roman"/>
          <w:color w:themeColor="text1" w:val="000000"/>
          <w:kern w:val="2"/>
          <w:sz w:val="28"/>
          <w:szCs w:val="28"/>
          <w:lang w:val="vi-VN"/>
        </w:rPr>
      </w:pPr>
      <w:r>
        <w:rPr>
          <w:rFonts w:cs="Times New Roman"/>
          <w:color w:themeColor="text1" w:val="000000"/>
          <w:kern w:val="2"/>
          <w:sz w:val="28"/>
          <w:szCs w:val="28"/>
        </w:rPr>
        <w:t>…</w:t>
      </w:r>
      <w:r>
        <w:rPr>
          <w:rFonts w:cs="Times New Roman"/>
          <w:color w:themeColor="text1" w:val="000000"/>
          <w:kern w:val="2"/>
          <w:sz w:val="28"/>
          <w:szCs w:val="28"/>
        </w:rPr>
        <w:t>.</w:t>
      </w:r>
    </w:p>
    <w:p>
      <w:pPr>
        <w:pStyle w:val="Normal"/>
        <w:shd w:val="clear" w:color="auto" w:fill="FFFFFF" w:themeFill="background1"/>
        <w:spacing w:before="120" w:after="120"/>
        <w:ind w:firstLine="567"/>
        <w:jc w:val="both"/>
        <w:rPr>
          <w:rFonts w:ascii="Times New Roman" w:hAnsi="Times New Roman" w:cs="Times New Roman"/>
          <w:bCs/>
          <w:color w:themeColor="text1" w:val="000000"/>
          <w:kern w:val="2"/>
          <w:sz w:val="28"/>
          <w:szCs w:val="28"/>
          <w:lang w:val="pt-BR"/>
        </w:rPr>
      </w:pPr>
      <w:r>
        <w:rPr>
          <w:rFonts w:cs="Times New Roman"/>
          <w:bCs/>
          <w:color w:themeColor="text1" w:val="000000"/>
          <w:kern w:val="2"/>
          <w:sz w:val="28"/>
          <w:szCs w:val="28"/>
          <w:lang w:val="pt-BR"/>
        </w:rPr>
        <w:t>4. Trường hợp người bệnh vào cơ sở khám bệnh, chữa bệnh trước ngày Thông tư này có hiệu lực và kết thúc lượt khám bệnh, chữa bệnh kể từ ngày Nghị</w:t>
      </w:r>
      <w:r>
        <w:rPr>
          <w:rFonts w:cs="Times New Roman"/>
          <w:bCs/>
          <w:color w:themeColor="text1" w:val="000000"/>
          <w:kern w:val="2"/>
          <w:sz w:val="28"/>
          <w:szCs w:val="28"/>
          <w:lang w:val="vi-VN"/>
        </w:rPr>
        <w:t xml:space="preserve"> định</w:t>
      </w:r>
      <w:r>
        <w:rPr>
          <w:rFonts w:cs="Times New Roman"/>
          <w:bCs/>
          <w:color w:themeColor="text1" w:val="000000"/>
          <w:kern w:val="2"/>
          <w:sz w:val="28"/>
          <w:szCs w:val="28"/>
          <w:lang w:val="pt-BR"/>
        </w:rPr>
        <w:t xml:space="preserve"> này có hiệu lực thì áp dụng theo quy định của Nghị</w:t>
      </w:r>
      <w:r>
        <w:rPr>
          <w:rFonts w:cs="Times New Roman"/>
          <w:bCs/>
          <w:color w:themeColor="text1" w:val="000000"/>
          <w:kern w:val="2"/>
          <w:sz w:val="28"/>
          <w:szCs w:val="28"/>
          <w:lang w:val="vi-VN"/>
        </w:rPr>
        <w:t xml:space="preserve"> định </w:t>
      </w:r>
      <w:r>
        <w:rPr>
          <w:rFonts w:cs="Times New Roman"/>
          <w:bCs/>
          <w:color w:themeColor="text1" w:val="000000"/>
          <w:kern w:val="2"/>
          <w:sz w:val="28"/>
          <w:szCs w:val="28"/>
          <w:lang w:val="pt-BR"/>
        </w:rPr>
        <w:t>này hoặc các quy định trước thời điểm Nghị</w:t>
      </w:r>
      <w:r>
        <w:rPr>
          <w:rFonts w:cs="Times New Roman"/>
          <w:bCs/>
          <w:color w:themeColor="text1" w:val="000000"/>
          <w:kern w:val="2"/>
          <w:sz w:val="28"/>
          <w:szCs w:val="28"/>
          <w:lang w:val="vi-VN"/>
        </w:rPr>
        <w:t xml:space="preserve"> định </w:t>
      </w:r>
      <w:r>
        <w:rPr>
          <w:rFonts w:cs="Times New Roman"/>
          <w:bCs/>
          <w:color w:themeColor="text1" w:val="000000"/>
          <w:kern w:val="2"/>
          <w:sz w:val="28"/>
          <w:szCs w:val="28"/>
          <w:lang w:val="pt-BR"/>
        </w:rPr>
        <w:t>này có hiệu lực theo hướng có lợi cho người bệnh về quyền lợi bảo hiểm y tế.</w:t>
      </w:r>
    </w:p>
    <w:p>
      <w:pPr>
        <w:pStyle w:val="Normal"/>
        <w:shd w:val="clear" w:color="auto" w:fill="FFFFFF" w:themeFill="background1"/>
        <w:spacing w:before="120" w:after="120"/>
        <w:ind w:firstLine="567"/>
        <w:jc w:val="both"/>
        <w:rPr>
          <w:rFonts w:ascii="Times New Roman" w:hAnsi="Times New Roman" w:cs="Times New Roman"/>
          <w:bCs/>
          <w:color w:themeColor="text1" w:val="000000"/>
          <w:kern w:val="2"/>
          <w:sz w:val="28"/>
          <w:szCs w:val="28"/>
          <w:lang w:val="pt-BR"/>
        </w:rPr>
      </w:pPr>
      <w:r>
        <w:rPr>
          <w:rFonts w:cs="Times New Roman"/>
          <w:bCs/>
          <w:color w:themeColor="text1" w:val="000000"/>
          <w:kern w:val="2"/>
          <w:sz w:val="28"/>
          <w:szCs w:val="28"/>
          <w:lang w:val="pt-BR"/>
        </w:rPr>
        <w:t>5</w:t>
      </w:r>
      <w:r>
        <w:rPr>
          <w:rFonts w:cs="Times New Roman"/>
          <w:bCs/>
          <w:color w:themeColor="text1" w:val="000000"/>
          <w:kern w:val="2"/>
          <w:sz w:val="28"/>
          <w:szCs w:val="28"/>
          <w:lang w:val="vi-VN"/>
        </w:rPr>
        <w:t xml:space="preserve">. </w:t>
      </w:r>
      <w:r>
        <w:rPr>
          <w:rFonts w:cs="Times New Roman"/>
          <w:bCs/>
          <w:color w:themeColor="text1" w:val="000000"/>
          <w:kern w:val="2"/>
          <w:sz w:val="28"/>
          <w:szCs w:val="28"/>
          <w:lang w:val="pt-BR"/>
        </w:rPr>
        <w:t>Trường hợp người bệnh đi khám bệnh, chữa bệnh, vào cơ</w:t>
      </w:r>
      <w:r>
        <w:rPr>
          <w:rFonts w:cs="Times New Roman"/>
          <w:bCs/>
          <w:color w:themeColor="text1" w:val="000000"/>
          <w:kern w:val="2"/>
          <w:sz w:val="28"/>
          <w:szCs w:val="28"/>
          <w:lang w:val="vi-VN"/>
        </w:rPr>
        <w:t xml:space="preserve"> sở khám bệnh, chữa bệnh</w:t>
      </w:r>
      <w:r>
        <w:rPr>
          <w:rFonts w:cs="Times New Roman"/>
          <w:bCs/>
          <w:color w:themeColor="text1" w:val="000000"/>
          <w:kern w:val="2"/>
          <w:sz w:val="28"/>
          <w:szCs w:val="28"/>
          <w:lang w:val="pt-BR"/>
        </w:rPr>
        <w:t xml:space="preserve"> trước khi pháp luật có quy định thay đổi giá dịch vụ, mức hưởng, tỷ lệ hưởng, phạm vi quyền lợi của người tham gia bảo hiểm y tế và thủ tục khám bệnh, chữa bệnh, thủ</w:t>
      </w:r>
      <w:r>
        <w:rPr>
          <w:rFonts w:cs="Times New Roman"/>
          <w:bCs/>
          <w:color w:themeColor="text1" w:val="000000"/>
          <w:kern w:val="2"/>
          <w:sz w:val="28"/>
          <w:szCs w:val="28"/>
          <w:lang w:val="vi-VN"/>
        </w:rPr>
        <w:t xml:space="preserve"> tục </w:t>
      </w:r>
      <w:r>
        <w:rPr>
          <w:rFonts w:cs="Times New Roman"/>
          <w:bCs/>
          <w:color w:themeColor="text1" w:val="000000"/>
          <w:kern w:val="2"/>
          <w:sz w:val="28"/>
          <w:szCs w:val="28"/>
          <w:lang w:val="pt-BR"/>
        </w:rPr>
        <w:t>thanh toán chi phí khám bệnh, chữa bệnh bảo hiểm y tế nhưng kết thúc lượt khám bệnh, chữa bệnh từ thời điểm quy định</w:t>
      </w:r>
      <w:r>
        <w:rPr>
          <w:rFonts w:cs="Times New Roman"/>
          <w:bCs/>
          <w:color w:themeColor="text1" w:val="000000"/>
          <w:kern w:val="2"/>
          <w:sz w:val="28"/>
          <w:szCs w:val="28"/>
          <w:lang w:val="vi-VN"/>
        </w:rPr>
        <w:t xml:space="preserve"> mới</w:t>
      </w:r>
      <w:r>
        <w:rPr>
          <w:rFonts w:cs="Times New Roman"/>
          <w:bCs/>
          <w:color w:themeColor="text1" w:val="000000"/>
          <w:kern w:val="2"/>
          <w:sz w:val="28"/>
          <w:szCs w:val="28"/>
          <w:lang w:val="pt-BR"/>
        </w:rPr>
        <w:t xml:space="preserve"> có hiệu lực thì chi phí của lượt khám bệnh, chữa bệnh đó được áp dụng theo hướng có lợi về</w:t>
      </w:r>
      <w:r>
        <w:rPr>
          <w:rFonts w:cs="Times New Roman"/>
          <w:bCs/>
          <w:color w:themeColor="text1" w:val="000000"/>
          <w:kern w:val="2"/>
          <w:sz w:val="28"/>
          <w:szCs w:val="28"/>
          <w:lang w:val="vi-VN"/>
        </w:rPr>
        <w:t xml:space="preserve"> thủ tục,</w:t>
      </w:r>
      <w:r>
        <w:rPr>
          <w:rFonts w:cs="Times New Roman"/>
          <w:bCs/>
          <w:color w:themeColor="text1" w:val="000000"/>
          <w:kern w:val="2"/>
          <w:sz w:val="28"/>
          <w:szCs w:val="28"/>
          <w:lang w:val="pt-BR"/>
        </w:rPr>
        <w:t xml:space="preserve"> giá, mức hưởng, tỷ lệ hưởng cho người bệnh.</w:t>
      </w:r>
    </w:p>
    <w:p>
      <w:pPr>
        <w:pStyle w:val="Normal"/>
        <w:shd w:val="clear" w:color="auto" w:fill="FFFFFF" w:themeFill="background1"/>
        <w:spacing w:before="120" w:after="120"/>
        <w:ind w:firstLine="567"/>
        <w:jc w:val="both"/>
        <w:rPr>
          <w:rFonts w:ascii="Times New Roman" w:hAnsi="Times New Roman" w:cs="Times New Roman"/>
          <w:bCs/>
          <w:color w:themeColor="text1" w:val="000000"/>
          <w:kern w:val="2"/>
          <w:sz w:val="28"/>
          <w:szCs w:val="28"/>
          <w:lang w:val="vi-VN"/>
        </w:rPr>
      </w:pPr>
      <w:r>
        <w:rPr>
          <w:rFonts w:cs="Times New Roman"/>
          <w:bCs/>
          <w:color w:themeColor="text1" w:val="000000"/>
          <w:kern w:val="2"/>
          <w:sz w:val="28"/>
          <w:szCs w:val="28"/>
          <w:lang w:val="pt-BR"/>
        </w:rPr>
        <w:t>6</w:t>
      </w:r>
      <w:r>
        <w:rPr>
          <w:rFonts w:cs="Times New Roman"/>
          <w:bCs/>
          <w:color w:themeColor="text1" w:val="000000"/>
          <w:kern w:val="2"/>
          <w:sz w:val="28"/>
          <w:szCs w:val="28"/>
          <w:lang w:val="vi-VN"/>
        </w:rPr>
        <w:t>. Trường hợp cơ sở khám bệnh, chữa bệnh tư nhân chưa có giá tương ứng của dịch vụ kỹ thuật của cơ sở khám bệnh, chữa bệnh của Nhà nước để áp mức thanh toán chi phí khám bệnh, chữa bệnh, cơ sở khám bệnh, chữa bệnh gửi đề nghị để Bộ Y tế xem xét, xác định mức thanh toán cụ thể từ Quỹ bảo hiểm y tế.</w:t>
      </w:r>
    </w:p>
    <w:p>
      <w:pPr>
        <w:pStyle w:val="Normal"/>
        <w:shd w:val="clear" w:color="auto" w:fill="FFFFFF" w:themeFill="background1"/>
        <w:spacing w:before="120" w:after="120"/>
        <w:ind w:firstLine="567"/>
        <w:jc w:val="both"/>
        <w:rPr>
          <w:rFonts w:ascii="Times New Roman" w:hAnsi="Times New Roman" w:cs="Times New Roman"/>
          <w:b/>
          <w:color w:themeColor="text1" w:val="000000"/>
          <w:kern w:val="2"/>
          <w:sz w:val="28"/>
          <w:szCs w:val="28"/>
          <w:lang w:val="pt-BR"/>
        </w:rPr>
      </w:pPr>
      <w:r>
        <w:rPr>
          <w:rFonts w:cs="Times New Roman"/>
          <w:b/>
          <w:color w:themeColor="text1" w:val="000000"/>
          <w:kern w:val="2"/>
          <w:sz w:val="28"/>
          <w:szCs w:val="28"/>
          <w:lang w:val="pt-BR"/>
        </w:rPr>
        <w:t xml:space="preserve">Điều </w:t>
      </w:r>
      <w:r>
        <w:rPr>
          <w:rFonts w:cs="Times New Roman"/>
          <w:b/>
          <w:color w:themeColor="text1" w:val="000000"/>
          <w:kern w:val="2"/>
          <w:sz w:val="28"/>
          <w:szCs w:val="28"/>
        </w:rPr>
        <w:t>10</w:t>
      </w:r>
      <w:r>
        <w:rPr>
          <w:rFonts w:cs="Times New Roman"/>
          <w:b/>
          <w:color w:themeColor="text1" w:val="000000"/>
          <w:kern w:val="2"/>
          <w:sz w:val="28"/>
          <w:szCs w:val="28"/>
          <w:lang w:val="pt-BR"/>
        </w:rPr>
        <w:t>. Trách nhiệm thi hành</w:t>
      </w:r>
    </w:p>
    <w:p>
      <w:pPr>
        <w:pStyle w:val="Normal"/>
        <w:shd w:val="clear" w:color="auto" w:fill="FFFFFF" w:themeFill="background1"/>
        <w:spacing w:before="120" w:after="120"/>
        <w:ind w:firstLine="567"/>
        <w:jc w:val="both"/>
        <w:rPr>
          <w:rFonts w:ascii="Times New Roman" w:hAnsi="Times New Roman" w:cs="Times New Roman"/>
          <w:bCs/>
          <w:color w:themeColor="text1" w:val="000000"/>
          <w:kern w:val="2"/>
          <w:sz w:val="28"/>
          <w:szCs w:val="28"/>
          <w:lang w:val="pt-BR"/>
        </w:rPr>
      </w:pPr>
      <w:r>
        <w:rPr>
          <w:rFonts w:cs="Times New Roman"/>
          <w:bCs/>
          <w:color w:themeColor="text1" w:val="000000"/>
          <w:kern w:val="2"/>
          <w:sz w:val="28"/>
          <w:szCs w:val="28"/>
          <w:lang w:val="pt-BR"/>
        </w:rPr>
        <w:t>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pStyle w:val="Normal"/>
        <w:shd w:val="clear" w:color="auto" w:fill="FFFFFF" w:themeFill="background1"/>
        <w:ind w:firstLine="709"/>
        <w:jc w:val="both"/>
        <w:rPr>
          <w:rFonts w:ascii="Times New Roman" w:hAnsi="Times New Roman"/>
          <w:bCs/>
          <w:color w:themeColor="text1" w:val="000000"/>
          <w:kern w:val="2"/>
          <w:sz w:val="28"/>
          <w:szCs w:val="28"/>
          <w:lang w:val="pt-BR"/>
        </w:rPr>
      </w:pPr>
      <w:r>
        <w:rPr>
          <w:bCs/>
          <w:color w:themeColor="text1" w:val="000000"/>
          <w:kern w:val="2"/>
          <w:sz w:val="28"/>
          <w:szCs w:val="28"/>
          <w:lang w:val="pt-BR"/>
        </w:rPr>
      </w:r>
    </w:p>
    <w:tbl>
      <w:tblPr>
        <w:tblW w:w="8931"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5637"/>
        <w:gridCol w:w="3294"/>
      </w:tblGrid>
      <w:tr>
        <w:trPr>
          <w:trHeight w:val="662" w:hRule="atLeast"/>
        </w:trPr>
        <w:tc>
          <w:tcPr>
            <w:tcW w:w="5637" w:type="dxa"/>
            <w:tcBorders/>
          </w:tcPr>
          <w:p>
            <w:pPr>
              <w:pStyle w:val="Normal"/>
              <w:shd w:val="clear" w:color="auto" w:fill="FFFFFF" w:themeFill="background1"/>
              <w:ind w:left="-68"/>
              <w:rPr>
                <w:rFonts w:ascii="Times New Roman" w:hAnsi="Times New Roman"/>
                <w:color w:themeColor="text1" w:val="000000"/>
                <w:szCs w:val="28"/>
                <w:lang w:val="pt-BR"/>
              </w:rPr>
            </w:pPr>
            <w:r>
              <w:rPr>
                <w:b/>
                <w:i/>
                <w:color w:themeColor="text1" w:val="000000"/>
                <w:szCs w:val="28"/>
                <w:lang w:val="pt-BR"/>
              </w:rPr>
              <w:t>Nơi nhận:</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Ban Bí thư Trung ương Đảng;</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Thủ tướng, các Phó Thủ tướng Chính phủ;</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Các bộ, cơ quan ngang bộ, cơ quan thuộc Chính phủ;</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HĐND, UBND các tỉnh, thành phố trực thuộc trung ương;</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Văn phòng Trung ương và các Ban của Đảng;</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Văn phòng Tổng Bí thư;</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Văn phòng Chủ tịch nước;</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Hội đồng Dân tộc và các Ủy ban của Quốc hội;</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Văn phòng Quốc hội;</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Tòa án nhân dân tối cao;</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Viện kiểm sát nhân dân tối cao;</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Kiểm toán nhà nước;</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Ủy ban Trung ương Mặt trận Tổ quốc Việt Nam;</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Cơ quan trung ương của các đoàn thể;</w:t>
            </w:r>
          </w:p>
          <w:p>
            <w:pPr>
              <w:pStyle w:val="Normal"/>
              <w:shd w:val="clear" w:color="auto" w:fill="FFFFFF" w:themeFill="background1"/>
              <w:ind w:left="-6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VPCP: BTCN, các PCN, Trợ lý TTg, TGĐ Cổng TTĐT,</w:t>
            </w:r>
          </w:p>
          <w:p>
            <w:pPr>
              <w:pStyle w:val="Normal"/>
              <w:shd w:val="clear" w:color="auto" w:fill="FFFFFF" w:themeFill="background1"/>
              <w:ind w:left="-68" w:right="-108"/>
              <w:rPr>
                <w:rFonts w:ascii="Times New Roman" w:hAnsi="Times New Roman"/>
                <w:color w:themeColor="text1" w:val="000000"/>
                <w:sz w:val="22"/>
                <w:szCs w:val="28"/>
                <w:shd w:fill="FFFFFF" w:val="clear"/>
                <w:lang w:val="pt-BR"/>
              </w:rPr>
            </w:pPr>
            <w:r>
              <w:rPr>
                <w:color w:themeColor="text1" w:val="000000"/>
                <w:sz w:val="22"/>
                <w:szCs w:val="28"/>
                <w:shd w:fill="FFFFFF" w:val="clear"/>
                <w:lang w:val="pt-BR"/>
              </w:rPr>
              <w:t xml:space="preserve">  </w:t>
            </w:r>
            <w:r>
              <w:rPr>
                <w:color w:themeColor="text1" w:val="000000"/>
                <w:sz w:val="22"/>
                <w:szCs w:val="28"/>
                <w:shd w:fill="FFFFFF" w:val="clear"/>
                <w:lang w:val="pt-BR"/>
              </w:rPr>
              <w:t>các Vụ, Cục, đơn vị trực thuộc, Công báo;</w:t>
            </w:r>
          </w:p>
          <w:p>
            <w:pPr>
              <w:pStyle w:val="Normal"/>
              <w:shd w:val="clear" w:color="auto" w:fill="FFFFFF" w:themeFill="background1"/>
              <w:ind w:left="-68"/>
              <w:rPr>
                <w:rFonts w:ascii="Times New Roman" w:hAnsi="Times New Roman"/>
                <w:color w:themeColor="text1" w:val="000000"/>
                <w:szCs w:val="28"/>
              </w:rPr>
            </w:pPr>
            <w:r>
              <w:rPr>
                <w:color w:themeColor="text1" w:val="000000"/>
                <w:sz w:val="22"/>
                <w:szCs w:val="28"/>
                <w:shd w:fill="FFFFFF" w:val="clear"/>
              </w:rPr>
              <w:t>- Lưu: VT, KGVX (2).</w:t>
            </w:r>
          </w:p>
        </w:tc>
        <w:tc>
          <w:tcPr>
            <w:tcW w:w="3294" w:type="dxa"/>
            <w:tcBorders/>
          </w:tcPr>
          <w:p>
            <w:pPr>
              <w:pStyle w:val="Normal"/>
              <w:shd w:val="clear" w:color="auto" w:fill="FFFFFF" w:themeFill="background1"/>
              <w:ind w:left="-108"/>
              <w:jc w:val="center"/>
              <w:rPr>
                <w:rFonts w:ascii="Times New Roman" w:hAnsi="Times New Roman"/>
                <w:b/>
                <w:color w:themeColor="text1" w:val="000000"/>
                <w:sz w:val="28"/>
                <w:szCs w:val="28"/>
              </w:rPr>
            </w:pPr>
            <w:r>
              <w:rPr>
                <w:b/>
                <w:color w:themeColor="text1" w:val="000000"/>
                <w:sz w:val="28"/>
                <w:szCs w:val="28"/>
              </w:rPr>
              <w:t>TM. CHÍNH PHỦ</w:t>
            </w:r>
          </w:p>
          <w:p>
            <w:pPr>
              <w:pStyle w:val="Normal"/>
              <w:shd w:val="clear" w:color="auto" w:fill="FFFFFF" w:themeFill="background1"/>
              <w:ind w:left="-108"/>
              <w:jc w:val="center"/>
              <w:rPr>
                <w:rFonts w:ascii="Times New Roman" w:hAnsi="Times New Roman"/>
                <w:b/>
                <w:color w:themeColor="text1" w:val="000000"/>
                <w:sz w:val="28"/>
                <w:szCs w:val="28"/>
              </w:rPr>
            </w:pPr>
            <w:r>
              <w:rPr>
                <w:b/>
                <w:color w:themeColor="text1" w:val="000000"/>
                <w:sz w:val="28"/>
                <w:szCs w:val="28"/>
              </w:rPr>
              <w:t>THỦ TƯỚNG</w:t>
            </w:r>
          </w:p>
          <w:p>
            <w:pPr>
              <w:pStyle w:val="Normal"/>
              <w:widowControl w:val="false"/>
              <w:jc w:val="center"/>
              <w:textAlignment w:val="center"/>
              <w:rPr>
                <w:rFonts w:ascii="Times New Roman" w:hAnsi="Times New Roman" w:cs="Times New Roman"/>
                <w:b/>
                <w:sz w:val="18"/>
                <w:szCs w:val="26"/>
              </w:rPr>
            </w:pPr>
            <w:r>
              <w:rPr>
                <w:rFonts w:cs="Times New Roman"/>
                <w:b/>
                <w:sz w:val="18"/>
                <w:szCs w:val="26"/>
              </w:rPr>
            </w:r>
          </w:p>
          <w:p>
            <w:pPr>
              <w:pStyle w:val="Normal"/>
              <w:widowControl w:val="false"/>
              <w:jc w:val="center"/>
              <w:textAlignment w:val="center"/>
              <w:rPr>
                <w:rFonts w:ascii="Times New Roman" w:hAnsi="Times New Roman" w:cs="Times New Roman"/>
                <w:b/>
                <w:szCs w:val="26"/>
                <w:lang w:val="vi-VN"/>
              </w:rPr>
            </w:pPr>
            <w:r>
              <w:rPr>
                <w:rFonts w:cs="Times New Roman"/>
                <w:b/>
                <w:szCs w:val="26"/>
                <w:lang w:val="vi-VN"/>
              </w:rPr>
            </w:r>
          </w:p>
          <w:p>
            <w:pPr>
              <w:pStyle w:val="Normal"/>
              <w:widowControl w:val="false"/>
              <w:jc w:val="center"/>
              <w:textAlignment w:val="center"/>
              <w:rPr>
                <w:rFonts w:ascii="Times New Roman" w:hAnsi="Times New Roman" w:cs="Times New Roman"/>
                <w:b/>
                <w:szCs w:val="26"/>
                <w:lang w:val="vi-VN"/>
              </w:rPr>
            </w:pPr>
            <w:r>
              <w:rPr>
                <w:rFonts w:cs="Times New Roman"/>
                <w:b/>
                <w:szCs w:val="26"/>
                <w:lang w:val="vi-VN"/>
              </w:rPr>
            </w:r>
          </w:p>
          <w:p>
            <w:pPr>
              <w:pStyle w:val="Normal"/>
              <w:widowControl w:val="false"/>
              <w:jc w:val="center"/>
              <w:textAlignment w:val="center"/>
              <w:rPr>
                <w:rFonts w:ascii="Times New Roman" w:hAnsi="Times New Roman" w:cs="Times New Roman"/>
                <w:b/>
                <w:szCs w:val="26"/>
                <w:lang w:val="vi-VN"/>
              </w:rPr>
            </w:pPr>
            <w:r>
              <w:rPr>
                <w:rFonts w:cs="Times New Roman"/>
                <w:b/>
                <w:szCs w:val="26"/>
                <w:lang w:val="vi-VN"/>
              </w:rPr>
            </w:r>
          </w:p>
          <w:p>
            <w:pPr>
              <w:pStyle w:val="Normal"/>
              <w:widowControl w:val="false"/>
              <w:jc w:val="center"/>
              <w:textAlignment w:val="center"/>
              <w:rPr>
                <w:rFonts w:ascii="Times New Roman" w:hAnsi="Times New Roman" w:cs="Times New Roman"/>
                <w:b/>
                <w:szCs w:val="26"/>
                <w:lang w:val="vi-VN"/>
              </w:rPr>
            </w:pPr>
            <w:r>
              <w:rPr>
                <w:rFonts w:cs="Times New Roman"/>
                <w:b/>
                <w:szCs w:val="26"/>
                <w:lang w:val="vi-VN"/>
              </w:rPr>
            </w:r>
          </w:p>
          <w:p>
            <w:pPr>
              <w:pStyle w:val="Normal"/>
              <w:widowControl w:val="false"/>
              <w:jc w:val="center"/>
              <w:textAlignment w:val="center"/>
              <w:rPr>
                <w:rFonts w:ascii="Times New Roman" w:hAnsi="Times New Roman" w:cs="Times New Roman"/>
                <w:b/>
                <w:szCs w:val="26"/>
                <w:lang w:val="vi-VN"/>
              </w:rPr>
            </w:pPr>
            <w:r>
              <w:rPr>
                <w:rFonts w:cs="Times New Roman"/>
                <w:b/>
                <w:szCs w:val="26"/>
                <w:lang w:val="vi-VN"/>
              </w:rPr>
            </w:r>
          </w:p>
          <w:p>
            <w:pPr>
              <w:pStyle w:val="Normal"/>
              <w:widowControl w:val="false"/>
              <w:jc w:val="center"/>
              <w:textAlignment w:val="center"/>
              <w:rPr>
                <w:rFonts w:ascii="Times New Roman" w:hAnsi="Times New Roman" w:cs="Times New Roman"/>
                <w:b/>
                <w:szCs w:val="26"/>
                <w:lang w:val="vi-VN"/>
              </w:rPr>
            </w:pPr>
            <w:r>
              <w:rPr>
                <w:rFonts w:cs="Times New Roman"/>
                <w:b/>
                <w:szCs w:val="26"/>
                <w:lang w:val="vi-VN"/>
              </w:rPr>
            </w:r>
          </w:p>
          <w:p>
            <w:pPr>
              <w:pStyle w:val="Normal"/>
              <w:shd w:val="clear" w:color="auto" w:fill="FFFFFF" w:themeFill="background1"/>
              <w:ind w:left="-108"/>
              <w:jc w:val="center"/>
              <w:rPr>
                <w:rFonts w:ascii="Times New Roman" w:hAnsi="Times New Roman"/>
                <w:b/>
                <w:color w:themeColor="text1" w:val="000000"/>
                <w:szCs w:val="28"/>
              </w:rPr>
            </w:pPr>
            <w:r>
              <w:rPr>
                <w:b/>
                <w:color w:themeColor="text1" w:val="000000"/>
                <w:szCs w:val="28"/>
              </w:rPr>
            </w:r>
          </w:p>
          <w:p>
            <w:pPr>
              <w:pStyle w:val="Normal"/>
              <w:shd w:val="clear" w:color="auto" w:fill="FFFFFF" w:themeFill="background1"/>
              <w:ind w:left="-108"/>
              <w:jc w:val="center"/>
              <w:rPr>
                <w:rFonts w:ascii="Times New Roman" w:hAnsi="Times New Roman"/>
                <w:b/>
                <w:color w:themeColor="text1" w:val="000000"/>
                <w:szCs w:val="28"/>
                <w:lang w:val="vi-VN"/>
              </w:rPr>
            </w:pPr>
            <w:r>
              <w:rPr>
                <w:b/>
                <w:color w:themeColor="text1" w:val="000000"/>
                <w:szCs w:val="28"/>
              </w:rPr>
              <w:t>Lê</w:t>
            </w:r>
            <w:r>
              <w:rPr>
                <w:b/>
                <w:color w:themeColor="text1" w:val="000000"/>
                <w:szCs w:val="28"/>
                <w:lang w:val="vi-VN"/>
              </w:rPr>
              <w:t xml:space="preserve"> Minh Hưng</w:t>
            </w:r>
          </w:p>
          <w:p>
            <w:pPr>
              <w:pStyle w:val="Normal"/>
              <w:shd w:val="clear" w:color="auto" w:fill="FFFFFF" w:themeFill="background1"/>
              <w:ind w:left="-108"/>
              <w:jc w:val="center"/>
              <w:rPr>
                <w:rFonts w:ascii="Times New Roman" w:hAnsi="Times New Roman"/>
                <w:b/>
                <w:color w:themeColor="text1" w:val="000000"/>
                <w:szCs w:val="28"/>
              </w:rPr>
            </w:pPr>
            <w:r>
              <w:rPr>
                <w:b/>
                <w:color w:themeColor="text1" w:val="000000"/>
                <w:szCs w:val="28"/>
              </w:rPr>
            </w:r>
          </w:p>
        </w:tc>
      </w:tr>
    </w:tbl>
    <w:p>
      <w:pPr>
        <w:pStyle w:val="Normal"/>
        <w:shd w:val="clear" w:color="auto" w:fill="FFFFFF" w:themeFill="background1"/>
        <w:rPr>
          <w:rFonts w:ascii="Times New Roman" w:hAnsi="Times New Roman" w:cs="Times New Roman"/>
          <w:b/>
          <w:color w:themeColor="text1" w:val="000000"/>
          <w:sz w:val="28"/>
          <w:szCs w:val="28"/>
          <w:lang w:val="vi-VN"/>
        </w:rPr>
      </w:pPr>
      <w:r>
        <w:rPr>
          <w:rFonts w:cs="Times New Roman"/>
          <w:b/>
          <w:color w:themeColor="text1" w:val="000000"/>
          <w:sz w:val="28"/>
          <w:szCs w:val="28"/>
          <w:lang w:val="vi-VN"/>
        </w:rPr>
      </w:r>
    </w:p>
    <w:sectPr>
      <w:headerReference w:type="even" r:id="rId2"/>
      <w:headerReference w:type="default" r:id="rId3"/>
      <w:headerReference w:type="first" r:id="rId4"/>
      <w:type w:val="nextPage"/>
      <w:pgSz w:w="11906" w:h="16838"/>
      <w:pgMar w:left="1701" w:right="1134" w:gutter="0" w:header="567"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rebuchet MS">
    <w:charset w:val="00"/>
    <w:family w:val="swiss"/>
    <w:pitch w:val="variable"/>
  </w:font>
  <w:font w:name="Segoe UI">
    <w:charset w:val="00"/>
    <w:family w:val="swiss"/>
    <w:pitch w:val="variable"/>
  </w:font>
  <w:font w:name="TimesNewRomanPSMT">
    <w:charset w:val="00"/>
    <w:family w:val="roman"/>
    <w:pitch w:val="variable"/>
  </w:font>
  <w:font w:name="TimesNewRomanPS-BoldMT">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618204446"/>
      <w:docPartObj>
        <w:docPartGallery w:val="Page Numbers (Top of Page)"/>
        <w:docPartUnique w:val="true"/>
      </w:docPartObj>
    </w:sdtPr>
    <w:sdtContent>
      <w:p>
        <w:pPr>
          <w:pStyle w:val="Header"/>
          <w:jc w:val="center"/>
          <w:rPr>
            <w:rFonts w:ascii="Times New Roman" w:hAnsi="Times New Roman" w:cs="Times New Roman"/>
          </w:rPr>
        </w:pPr>
        <w:r>
          <w:rPr>
            <w:rFonts w:cs="Times New Roman"/>
          </w:rPr>
          <w:fldChar w:fldCharType="begin"/>
        </w:r>
        <w:r>
          <w:rPr>
            <w:rFonts w:cs="Times New Roman"/>
          </w:rPr>
          <w:instrText xml:space="preserve"> PAGE </w:instrText>
        </w:r>
        <w:r>
          <w:rPr>
            <w:rFonts w:cs="Times New Roman"/>
          </w:rPr>
          <w:fldChar w:fldCharType="separate"/>
        </w:r>
        <w:r>
          <w:rPr>
            <w:rFonts w:cs="Times New Roman"/>
          </w:rPr>
          <w:t>9</w:t>
        </w:r>
        <w:r>
          <w:rPr>
            <w:rFonts w:cs="Times New Roman"/>
          </w:rPr>
          <w:fldChar w:fldCharType="end"/>
        </w:r>
      </w:p>
    </w:sdtContent>
  </w:sdt>
  <w:p>
    <w:pPr>
      <w:pStyle w:val="Header"/>
      <w:tabs>
        <w:tab w:val="clear" w:pos="4680"/>
        <w:tab w:val="clear" w:pos="9360"/>
        <w:tab w:val="left" w:pos="3941" w:leader="none"/>
      </w:tabs>
      <w:rPr/>
    </w:pPr>
    <w:r>
      <w:rPr/>
    </w:r>
  </w:p>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unhideWhenUsed="1"/>
    <w:lsdException w:name="annotation text" w:semiHidden="1" w:unhideWhenUsed="1"/>
    <w:lsdException w:name="header" w:unhideWhenUsed="1"/>
    <w:lsdException w:name="footer"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semiHidden="1" w:unhideWhenUsed="1"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256854"/>
    <w:pPr>
      <w:widowControl/>
      <w:bidi w:val="0"/>
      <w:spacing w:before="0" w:after="0"/>
      <w:jc w:val="left"/>
    </w:pPr>
    <w:rPr>
      <w:rFonts w:ascii="Times New Roman" w:hAnsi="Times New Roman" w:eastAsia="Times New Roman" w:cs="" w:asciiTheme="minorHAnsi" w:cstheme="minorBidi" w:eastAsiaTheme="minorHAnsi" w:hAnsiTheme="minorHAnsi"/>
      <w:color w:val="auto"/>
      <w:kern w:val="0"/>
      <w:sz w:val="24"/>
      <w:szCs w:val="24"/>
      <w:lang w:val="en-US" w:eastAsia="en-US" w:bidi="ar-SA"/>
    </w:rPr>
  </w:style>
  <w:style w:type="paragraph" w:styleId="Heading1">
    <w:name w:val="heading 1"/>
    <w:basedOn w:val="Normal"/>
    <w:next w:val="Normal"/>
    <w:link w:val="Heading1Char"/>
    <w:uiPriority w:val="9"/>
    <w:qFormat/>
    <w:pPr>
      <w:keepNext w:val="true"/>
      <w:keepLines/>
      <w:spacing w:before="240" w:after="0"/>
      <w:outlineLvl w:val="0"/>
    </w:pPr>
    <w:rPr>
      <w:rFonts w:ascii="Times New Roman" w:hAnsi="Times New Roman" w:eastAsia="" w:cs="" w:asciiTheme="majorHAnsi" w:cstheme="majorBidi" w:eastAsiaTheme="majorEastAsia" w:hAnsiTheme="majorHAnsi"/>
      <w:color w:themeColor="accent1" w:themeShade="bf" w:val="2F5496"/>
      <w:sz w:val="32"/>
      <w:szCs w:val="32"/>
    </w:rPr>
  </w:style>
  <w:style w:type="paragraph" w:styleId="Heading2">
    <w:name w:val="heading 2"/>
    <w:basedOn w:val="Normal"/>
    <w:next w:val="Normal"/>
    <w:link w:val="Heading2Char"/>
    <w:qFormat/>
    <w:pPr>
      <w:keepNext w:val="true"/>
      <w:keepLines/>
      <w:spacing w:lineRule="auto" w:line="276" w:before="200" w:after="0"/>
      <w:contextualSpacing/>
      <w:outlineLvl w:val="1"/>
    </w:pPr>
    <w:rPr>
      <w:rFonts w:ascii="Trebuchet MS" w:hAnsi="Trebuchet MS" w:eastAsia="Trebuchet MS" w:cs="Trebuchet MS"/>
      <w:b/>
      <w:color w:val="000000"/>
      <w:sz w:val="26"/>
      <w:szCs w:val="20"/>
    </w:rPr>
  </w:style>
  <w:style w:type="paragraph" w:styleId="Heading4">
    <w:name w:val="heading 4"/>
    <w:basedOn w:val="Normal"/>
    <w:next w:val="Normal"/>
    <w:link w:val="Heading4Char"/>
    <w:uiPriority w:val="9"/>
    <w:semiHidden/>
    <w:unhideWhenUsed/>
    <w:qFormat/>
    <w:pPr>
      <w:keepNext w:val="true"/>
      <w:keepLines/>
      <w:spacing w:before="40" w:after="0"/>
      <w:outlineLvl w:val="3"/>
    </w:pPr>
    <w:rPr>
      <w:rFonts w:ascii="Times New Roman" w:hAnsi="Times New Roman" w:eastAsia="" w:cs="" w:asciiTheme="majorHAnsi" w:cstheme="majorBidi" w:eastAsiaTheme="majorEastAsia" w:hAnsiTheme="majorHAnsi"/>
      <w:i/>
      <w:iCs/>
      <w:color w:themeColor="accent1" w:themeShade="bf" w:val="2F5496"/>
    </w:rPr>
  </w:style>
  <w:style w:type="character" w:styleId="DefaultParagraphFont" w:default="1">
    <w:name w:val="Default Paragraph Font"/>
    <w:uiPriority w:val="1"/>
    <w:semiHidden/>
    <w:unhideWhenUsed/>
    <w:qFormat/>
    <w:rPr/>
  </w:style>
  <w:style w:type="character" w:styleId="CommentReference">
    <w:name w:val="annotation reference"/>
    <w:basedOn w:val="DefaultParagraphFont"/>
    <w:uiPriority w:val="99"/>
    <w:semiHidden/>
    <w:unhideWhenUsed/>
    <w:qFormat/>
    <w:rPr>
      <w:sz w:val="16"/>
      <w:szCs w:val="16"/>
    </w:rPr>
  </w:style>
  <w:style w:type="character" w:styleId="EndnoteCharacters">
    <w:name w:val="Endnote Characters"/>
    <w:basedOn w:val="DefaultParagraphFont"/>
    <w:uiPriority w:val="99"/>
    <w:semiHidden/>
    <w:unhideWhenUsed/>
    <w:qFormat/>
    <w:rPr>
      <w:vertAlign w:val="superscript"/>
    </w:rPr>
  </w:style>
  <w:style w:type="character" w:styleId="EndnoteReference">
    <w:name w:val="endnote reference"/>
    <w:rPr>
      <w:vertAlign w:val="superscript"/>
    </w:rPr>
  </w:style>
  <w:style w:type="character" w:styleId="FootnoteCharacters">
    <w:name w:val="Footnote Characters"/>
    <w:unhideWhenUsed/>
    <w:qFormat/>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qFormat/>
    <w:rPr>
      <w:color w:themeColor="hyperlink" w:val="0563C1"/>
      <w:u w:val="single"/>
    </w:rPr>
  </w:style>
  <w:style w:type="character" w:styleId="Heading2Char" w:customStyle="1">
    <w:name w:val="Heading 2 Char"/>
    <w:basedOn w:val="DefaultParagraphFont"/>
    <w:link w:val="Heading2"/>
    <w:qFormat/>
    <w:rPr>
      <w:rFonts w:ascii="Trebuchet MS" w:hAnsi="Trebuchet MS" w:eastAsia="Trebuchet MS" w:cs="Trebuchet MS"/>
      <w:b/>
      <w:color w:val="000000"/>
      <w:sz w:val="26"/>
      <w:szCs w:val="20"/>
    </w:rPr>
  </w:style>
  <w:style w:type="character" w:styleId="UnresolvedMention1" w:customStyle="1">
    <w:name w:val="Unresolved Mention1"/>
    <w:basedOn w:val="DefaultParagraphFont"/>
    <w:uiPriority w:val="99"/>
    <w:semiHidden/>
    <w:unhideWhenUsed/>
    <w:qFormat/>
    <w:rPr>
      <w:color w:val="605E5C"/>
      <w:shd w:fill="E1DFDD" w:val="clear"/>
    </w:rPr>
  </w:style>
  <w:style w:type="character" w:styleId="UnresolvedMention2" w:customStyle="1">
    <w:name w:val="Unresolved Mention2"/>
    <w:basedOn w:val="DefaultParagraphFont"/>
    <w:uiPriority w:val="99"/>
    <w:semiHidden/>
    <w:unhideWhenUsed/>
    <w:qFormat/>
    <w:rPr>
      <w:color w:val="605E5C"/>
      <w:shd w:fill="E1DFDD" w:val="clear"/>
    </w:rPr>
  </w:style>
  <w:style w:type="character" w:styleId="HeaderChar" w:customStyle="1">
    <w:name w:val="Header Char"/>
    <w:basedOn w:val="DefaultParagraphFont"/>
    <w:link w:val="Header"/>
    <w:uiPriority w:val="99"/>
    <w:qFormat/>
    <w:rPr>
      <w:sz w:val="24"/>
      <w:szCs w:val="24"/>
    </w:rPr>
  </w:style>
  <w:style w:type="character" w:styleId="FooterChar" w:customStyle="1">
    <w:name w:val="Footer Char"/>
    <w:basedOn w:val="DefaultParagraphFont"/>
    <w:link w:val="Footer"/>
    <w:uiPriority w:val="99"/>
    <w:qFormat/>
    <w:rPr>
      <w:sz w:val="24"/>
      <w:szCs w:val="24"/>
    </w:rPr>
  </w:style>
  <w:style w:type="character" w:styleId="Heading4Char" w:customStyle="1">
    <w:name w:val="Heading 4 Char"/>
    <w:basedOn w:val="DefaultParagraphFont"/>
    <w:link w:val="Heading4"/>
    <w:uiPriority w:val="9"/>
    <w:semiHidden/>
    <w:qFormat/>
    <w:rPr>
      <w:rFonts w:ascii="Times New Roman" w:hAnsi="Times New Roman" w:eastAsia="" w:cs="" w:asciiTheme="majorHAnsi" w:cstheme="majorBidi" w:eastAsiaTheme="majorEastAsia" w:hAnsiTheme="majorHAnsi"/>
      <w:i/>
      <w:iCs/>
      <w:color w:themeColor="accent1" w:themeShade="bf" w:val="2F5496"/>
      <w:sz w:val="24"/>
      <w:szCs w:val="24"/>
    </w:rPr>
  </w:style>
  <w:style w:type="character" w:styleId="Heading1Char" w:customStyle="1">
    <w:name w:val="Heading 1 Char"/>
    <w:basedOn w:val="DefaultParagraphFont"/>
    <w:link w:val="Heading1"/>
    <w:uiPriority w:val="9"/>
    <w:qFormat/>
    <w:rPr>
      <w:rFonts w:ascii="Times New Roman" w:hAnsi="Times New Roman" w:eastAsia="" w:cs="" w:asciiTheme="majorHAnsi" w:cstheme="majorBidi" w:eastAsiaTheme="majorEastAsia" w:hAnsiTheme="majorHAnsi"/>
      <w:color w:themeColor="accent1" w:themeShade="bf" w:val="2F5496"/>
      <w:sz w:val="32"/>
      <w:szCs w:val="32"/>
    </w:rPr>
  </w:style>
  <w:style w:type="character" w:styleId="BalloonTextChar" w:customStyle="1">
    <w:name w:val="Balloon Text Char"/>
    <w:basedOn w:val="DefaultParagraphFont"/>
    <w:link w:val="BalloonText"/>
    <w:uiPriority w:val="99"/>
    <w:semiHidden/>
    <w:qFormat/>
    <w:rPr>
      <w:rFonts w:ascii="Segoe UI" w:hAnsi="Segoe UI" w:cs="Segoe UI"/>
      <w:sz w:val="18"/>
      <w:szCs w:val="18"/>
    </w:rPr>
  </w:style>
  <w:style w:type="character" w:styleId="CommentTextChar" w:customStyle="1">
    <w:name w:val="Comment Text Char"/>
    <w:basedOn w:val="DefaultParagraphFont"/>
    <w:link w:val="CommentText"/>
    <w:uiPriority w:val="99"/>
    <w:qFormat/>
    <w:rPr>
      <w:sz w:val="20"/>
      <w:szCs w:val="20"/>
    </w:rPr>
  </w:style>
  <w:style w:type="character" w:styleId="CommentSubjectChar" w:customStyle="1">
    <w:name w:val="Comment Subject Char"/>
    <w:basedOn w:val="CommentTextChar"/>
    <w:link w:val="annotationsubject"/>
    <w:uiPriority w:val="99"/>
    <w:semiHidden/>
    <w:qFormat/>
    <w:rPr>
      <w:b/>
      <w:bCs/>
      <w:sz w:val="20"/>
      <w:szCs w:val="20"/>
    </w:rPr>
  </w:style>
  <w:style w:type="character" w:styleId="FootnoteTextChar" w:customStyle="1">
    <w:name w:val="Footnote Text Char"/>
    <w:basedOn w:val="DefaultParagraphFont"/>
    <w:link w:val="FootnoteText"/>
    <w:qFormat/>
    <w:rPr>
      <w:rFonts w:ascii="Times New Roman" w:hAnsi="Times New Roman" w:eastAsia="Times New Roman" w:cs="Times New Roman"/>
      <w:sz w:val="20"/>
      <w:szCs w:val="20"/>
    </w:rPr>
  </w:style>
  <w:style w:type="character" w:styleId="fontstyle21" w:customStyle="1">
    <w:name w:val="fontstyle21"/>
    <w:qFormat/>
    <w:rPr>
      <w:rFonts w:ascii="TimesNewRomanPSMT" w:hAnsi="TimesNewRomanPSMT"/>
      <w:color w:val="000000"/>
      <w:sz w:val="18"/>
      <w:szCs w:val="18"/>
    </w:rPr>
  </w:style>
  <w:style w:type="character" w:styleId="fontstyle01" w:customStyle="1">
    <w:name w:val="fontstyle01"/>
    <w:basedOn w:val="DefaultParagraphFont"/>
    <w:qFormat/>
    <w:rPr>
      <w:rFonts w:ascii="TimesNewRomanPS-BoldMT" w:hAnsi="TimesNewRomanPS-BoldMT"/>
      <w:b/>
      <w:bCs/>
      <w:color w:val="000000"/>
      <w:sz w:val="28"/>
      <w:szCs w:val="28"/>
    </w:rPr>
  </w:style>
  <w:style w:type="character" w:styleId="tlid-translation" w:customStyle="1">
    <w:name w:val="tlid-translation"/>
    <w:qFormat/>
    <w:rPr/>
  </w:style>
  <w:style w:type="character" w:styleId="EndnoteTextChar" w:customStyle="1">
    <w:name w:val="Endnote Text Char"/>
    <w:basedOn w:val="DefaultParagraphFont"/>
    <w:link w:val="EndnoteText"/>
    <w:uiPriority w:val="99"/>
    <w:semiHidden/>
    <w:qFormat/>
    <w:rPr>
      <w:sz w:val="20"/>
      <w:szCs w:val="20"/>
    </w:rPr>
  </w:style>
  <w:style w:type="character" w:styleId="UnresolvedMention3" w:customStyle="1">
    <w:name w:val="Unresolved Mention3"/>
    <w:basedOn w:val="DefaultParagraphFont"/>
    <w:uiPriority w:val="99"/>
    <w:semiHidden/>
    <w:unhideWhenUsed/>
    <w:qFormat/>
    <w:rPr>
      <w:color w:val="605E5C"/>
      <w:shd w:fill="E1DFDD" w:val="clear"/>
    </w:rPr>
  </w:style>
  <w:style w:type="character" w:styleId="UnresolvedMention4" w:customStyle="1">
    <w:name w:val="Unresolved Mention4"/>
    <w:basedOn w:val="DefaultParagraphFont"/>
    <w:uiPriority w:val="99"/>
    <w:semiHidden/>
    <w:unhideWhenUsed/>
    <w:qFormat/>
    <w:rPr>
      <w:color w:val="605E5C"/>
      <w:shd w:fill="E1DFDD" w:val="clear"/>
    </w:rPr>
  </w:style>
  <w:style w:type="character" w:styleId="UnresolvedMention5" w:customStyle="1">
    <w:name w:val="Unresolved Mention5"/>
    <w:basedOn w:val="DefaultParagraphFont"/>
    <w:uiPriority w:val="99"/>
    <w:semiHidden/>
    <w:unhideWhenUsed/>
    <w:qFormat/>
    <w:rsid w:val="00c24473"/>
    <w:rPr>
      <w:color w:val="605E5C"/>
      <w:shd w:fill="E1DFDD" w:val="clear"/>
    </w:rPr>
  </w:style>
  <w:style w:type="character" w:styleId="QuoteChar" w:customStyle="1">
    <w:name w:val="Quote Char"/>
    <w:basedOn w:val="DefaultParagraphFont"/>
    <w:link w:val="Quote"/>
    <w:uiPriority w:val="29"/>
    <w:qFormat/>
    <w:rsid w:val="009237be"/>
    <w:rPr>
      <w:rFonts w:ascii="Times New Roman" w:hAnsi="Times New Roman" w:eastAsia="Times New Roman" w:cs="" w:asciiTheme="minorHAnsi" w:cstheme="minorBidi" w:eastAsiaTheme="minorHAnsi" w:hAnsiTheme="minorHAnsi"/>
      <w:i/>
      <w:iCs/>
      <w:color w:themeColor="text1" w:themeTint="bf" w:val="404040"/>
      <w:kern w:val="2"/>
      <w:sz w:val="24"/>
      <w:szCs w:val="24"/>
      <w14:ligatures w14:val="standardContextual"/>
    </w:rPr>
  </w:style>
  <w:style w:type="character" w:styleId="apple-converted-space" w:customStyle="1">
    <w:name w:val="apple-converted-space"/>
    <w:basedOn w:val="DefaultParagraphFont"/>
    <w:qFormat/>
    <w:rsid w:val="00d94615"/>
    <w:rPr/>
  </w:style>
  <w:style w:type="character" w:styleId="PageNumber">
    <w:name w:val="page number"/>
    <w:basedOn w:val="DefaultParagraphFont"/>
    <w:uiPriority w:val="99"/>
    <w:semiHidden/>
    <w:unhideWhenUsed/>
    <w:rsid w:val="00024fcd"/>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pPr/>
    <w:rPr>
      <w:rFonts w:ascii="Segoe UI" w:hAnsi="Segoe UI" w:cs="Segoe UI"/>
      <w:sz w:val="18"/>
      <w:szCs w:val="18"/>
    </w:rPr>
  </w:style>
  <w:style w:type="paragraph" w:styleId="CommentText">
    <w:name w:val="annotation text"/>
    <w:basedOn w:val="Normal"/>
    <w:link w:val="CommentTextChar"/>
    <w:uiPriority w:val="99"/>
    <w:unhideWhenUsed/>
    <w:pPr/>
    <w:rPr>
      <w:sz w:val="20"/>
      <w:szCs w:val="20"/>
    </w:rPr>
  </w:style>
  <w:style w:type="paragraph" w:styleId="annotationsubject">
    <w:name w:val="annotation subject"/>
    <w:basedOn w:val="CommentText"/>
    <w:next w:val="CommentText"/>
    <w:link w:val="CommentSubjectChar"/>
    <w:uiPriority w:val="99"/>
    <w:semiHidden/>
    <w:unhideWhenUsed/>
    <w:qFormat/>
    <w:pPr/>
    <w:rPr>
      <w:b/>
      <w:bCs/>
    </w:rPr>
  </w:style>
  <w:style w:type="paragraph" w:styleId="EndnoteText">
    <w:name w:val="endnote text"/>
    <w:basedOn w:val="Normal"/>
    <w:link w:val="EndnoteTextChar"/>
    <w:uiPriority w:val="99"/>
    <w:semiHidden/>
    <w:unhideWhenUsed/>
    <w:pPr/>
    <w:rPr>
      <w:sz w:val="20"/>
      <w:szCs w:val="20"/>
    </w:rPr>
  </w:style>
  <w:style w:type="paragraph" w:styleId="HeaderandFooter">
    <w:name w:val="Header and Footer"/>
    <w:basedOn w:val="Normal"/>
    <w:qFormat/>
    <w:pPr/>
    <w:rPr/>
  </w:style>
  <w:style w:type="paragraph" w:styleId="Footer">
    <w:name w:val="footer"/>
    <w:basedOn w:val="Normal"/>
    <w:link w:val="FooterChar"/>
    <w:uiPriority w:val="99"/>
    <w:unhideWhenUsed/>
    <w:pPr>
      <w:tabs>
        <w:tab w:val="clear" w:pos="720"/>
        <w:tab w:val="center" w:pos="4680" w:leader="none"/>
        <w:tab w:val="right" w:pos="9360" w:leader="none"/>
      </w:tabs>
    </w:pPr>
    <w:rPr/>
  </w:style>
  <w:style w:type="paragraph" w:styleId="FootnoteText">
    <w:name w:val="footnote text"/>
    <w:basedOn w:val="Normal"/>
    <w:link w:val="FootnoteTextChar"/>
    <w:unhideWhenUsed/>
    <w:pPr/>
    <w:rPr>
      <w:rFonts w:ascii="Times New Roman" w:hAnsi="Times New Roman" w:eastAsia="Times New Roman" w:cs="Times New Roman"/>
      <w:sz w:val="20"/>
      <w:szCs w:val="20"/>
    </w:rPr>
  </w:style>
  <w:style w:type="paragraph" w:styleId="Header">
    <w:name w:val="header"/>
    <w:basedOn w:val="Normal"/>
    <w:link w:val="HeaderChar"/>
    <w:uiPriority w:val="99"/>
    <w:unhideWhenUsed/>
    <w:pPr>
      <w:tabs>
        <w:tab w:val="clear" w:pos="720"/>
        <w:tab w:val="center" w:pos="4680" w:leader="none"/>
        <w:tab w:val="right" w:pos="9360" w:leader="none"/>
      </w:tabs>
    </w:pPr>
    <w:rPr/>
  </w:style>
  <w:style w:type="paragraph" w:styleId="NormalWeb">
    <w:name w:val="Normal (Web)"/>
    <w:basedOn w:val="Normal"/>
    <w:uiPriority w:val="99"/>
    <w:unhideWhenUsed/>
    <w:qFormat/>
    <w:pPr/>
    <w:rPr>
      <w:rFonts w:ascii="Times New Roman" w:hAnsi="Times New Roman" w:cs="Times New Roman"/>
    </w:rPr>
  </w:style>
  <w:style w:type="paragraph" w:styleId="Normal1" w:customStyle="1">
    <w:name w:val="Normal1"/>
    <w:qFormat/>
    <w:pPr>
      <w:widowControl/>
      <w:bidi w:val="0"/>
      <w:spacing w:lineRule="auto" w:line="276" w:before="0" w:after="0"/>
      <w:jc w:val="left"/>
    </w:pPr>
    <w:rPr>
      <w:rFonts w:ascii="Arial" w:hAnsi="Arial" w:eastAsia="Arial" w:cs="Arial"/>
      <w:color w:val="000000"/>
      <w:kern w:val="0"/>
      <w:sz w:val="22"/>
      <w:szCs w:val="20"/>
      <w:lang w:val="en-US" w:eastAsia="en-US" w:bidi="ar-SA"/>
    </w:rPr>
  </w:style>
  <w:style w:type="paragraph" w:styleId="ListParagraph">
    <w:name w:val="List Paragraph"/>
    <w:basedOn w:val="Normal"/>
    <w:uiPriority w:val="34"/>
    <w:qFormat/>
    <w:pPr>
      <w:spacing w:before="0" w:after="0"/>
      <w:ind w:left="720"/>
      <w:contextualSpacing/>
    </w:pPr>
    <w:rPr/>
  </w:style>
  <w:style w:type="paragraph" w:styleId="Default" w:customStyle="1">
    <w:name w:val="Default"/>
    <w:qFormat/>
    <w:pPr>
      <w:widowControl w:val="false"/>
      <w:bidi w:val="0"/>
      <w:spacing w:before="0" w:after="0"/>
      <w:jc w:val="left"/>
    </w:pPr>
    <w:rPr>
      <w:rFonts w:eastAsia="Times New Roman" w:ascii="Times New Roman" w:hAnsi="Times New Roman" w:cs="Times New Roman"/>
      <w:color w:val="000000"/>
      <w:kern w:val="0"/>
      <w:sz w:val="24"/>
      <w:szCs w:val="24"/>
      <w:lang w:val="en-AU" w:eastAsia="en-AU" w:bidi="ar-SA"/>
    </w:rPr>
  </w:style>
  <w:style w:type="paragraph" w:styleId="Revision1" w:customStyle="1">
    <w:name w:val="Revision1"/>
    <w:uiPriority w:val="99"/>
    <w:semiHidden/>
    <w:qFormat/>
    <w:pPr>
      <w:widowControl/>
      <w:bidi w:val="0"/>
      <w:spacing w:before="0" w:after="0"/>
      <w:jc w:val="left"/>
    </w:pPr>
    <w:rPr>
      <w:rFonts w:ascii="Times New Roman" w:hAnsi="Times New Roman" w:eastAsia="Times New Roman" w:cs="" w:asciiTheme="minorHAnsi" w:cstheme="minorBidi" w:eastAsiaTheme="minorHAnsi" w:hAnsiTheme="minorHAnsi"/>
      <w:color w:val="auto"/>
      <w:kern w:val="0"/>
      <w:sz w:val="24"/>
      <w:szCs w:val="24"/>
      <w:lang w:val="en-US" w:eastAsia="en-US" w:bidi="ar-SA"/>
    </w:rPr>
  </w:style>
  <w:style w:type="paragraph" w:styleId="Normal2" w:customStyle="1">
    <w:name w:val="Normal2"/>
    <w:qFormat/>
    <w:pPr>
      <w:widowControl/>
      <w:bidi w:val="0"/>
      <w:spacing w:lineRule="auto" w:line="276" w:before="0" w:after="0"/>
      <w:jc w:val="left"/>
    </w:pPr>
    <w:rPr>
      <w:rFonts w:ascii="Arial" w:hAnsi="Arial" w:eastAsia="Arial" w:cs="Arial"/>
      <w:color w:val="000000"/>
      <w:kern w:val="0"/>
      <w:sz w:val="22"/>
      <w:szCs w:val="20"/>
      <w:lang w:val="en-US" w:eastAsia="en-US" w:bidi="ar-SA"/>
    </w:rPr>
  </w:style>
  <w:style w:type="paragraph" w:styleId="Revision2" w:customStyle="1">
    <w:name w:val="Revision2"/>
    <w:uiPriority w:val="99"/>
    <w:unhideWhenUsed/>
    <w:qFormat/>
    <w:pPr>
      <w:widowControl/>
      <w:bidi w:val="0"/>
      <w:spacing w:before="0" w:after="0"/>
      <w:jc w:val="left"/>
    </w:pPr>
    <w:rPr>
      <w:rFonts w:ascii="Times New Roman" w:hAnsi="Times New Roman" w:eastAsia="Times New Roman" w:cs="" w:asciiTheme="minorHAnsi" w:cstheme="minorBidi" w:eastAsiaTheme="minorHAnsi" w:hAnsiTheme="minorHAnsi"/>
      <w:color w:val="auto"/>
      <w:kern w:val="0"/>
      <w:sz w:val="24"/>
      <w:szCs w:val="24"/>
      <w:lang w:val="en-US" w:eastAsia="en-US" w:bidi="ar-SA"/>
    </w:rPr>
  </w:style>
  <w:style w:type="paragraph" w:styleId="Revision3" w:customStyle="1">
    <w:name w:val="Revision3"/>
    <w:uiPriority w:val="99"/>
    <w:unhideWhenUsed/>
    <w:qFormat/>
    <w:pPr>
      <w:widowControl/>
      <w:bidi w:val="0"/>
      <w:spacing w:before="0" w:after="0"/>
      <w:jc w:val="left"/>
    </w:pPr>
    <w:rPr>
      <w:rFonts w:ascii="Times New Roman" w:hAnsi="Times New Roman" w:eastAsia="Times New Roman" w:cs="" w:asciiTheme="minorHAnsi" w:cstheme="minorBidi" w:eastAsiaTheme="minorHAnsi" w:hAnsiTheme="minorHAnsi"/>
      <w:color w:val="auto"/>
      <w:kern w:val="0"/>
      <w:sz w:val="24"/>
      <w:szCs w:val="24"/>
      <w:lang w:val="en-US" w:eastAsia="en-US" w:bidi="ar-SA"/>
    </w:rPr>
  </w:style>
  <w:style w:type="paragraph" w:styleId="Revision4" w:customStyle="1">
    <w:name w:val="Revision4"/>
    <w:uiPriority w:val="99"/>
    <w:unhideWhenUsed/>
    <w:qFormat/>
    <w:pPr>
      <w:widowControl/>
      <w:bidi w:val="0"/>
      <w:spacing w:before="0" w:after="0"/>
      <w:jc w:val="left"/>
    </w:pPr>
    <w:rPr>
      <w:rFonts w:ascii="Times New Roman" w:hAnsi="Times New Roman" w:eastAsia="Times New Roman" w:cs="" w:asciiTheme="minorHAnsi" w:cstheme="minorBidi" w:eastAsiaTheme="minorHAnsi" w:hAnsiTheme="minorHAnsi"/>
      <w:color w:val="auto"/>
      <w:kern w:val="0"/>
      <w:sz w:val="24"/>
      <w:szCs w:val="24"/>
      <w:lang w:val="en-US" w:eastAsia="en-US" w:bidi="ar-SA"/>
    </w:rPr>
  </w:style>
  <w:style w:type="paragraph" w:styleId="Revision">
    <w:name w:val="Revision"/>
    <w:uiPriority w:val="99"/>
    <w:unhideWhenUsed/>
    <w:qFormat/>
    <w:rsid w:val="00d40c81"/>
    <w:pPr>
      <w:widowControl/>
      <w:bidi w:val="0"/>
      <w:spacing w:before="0" w:after="0"/>
      <w:jc w:val="left"/>
    </w:pPr>
    <w:rPr>
      <w:rFonts w:ascii="Times New Roman" w:hAnsi="Times New Roman" w:eastAsia="Times New Roman" w:cs="" w:asciiTheme="minorHAnsi" w:cstheme="minorBidi" w:eastAsiaTheme="minorHAnsi" w:hAnsiTheme="minorHAnsi"/>
      <w:color w:val="auto"/>
      <w:kern w:val="0"/>
      <w:sz w:val="24"/>
      <w:szCs w:val="24"/>
      <w:lang w:val="en-US" w:eastAsia="en-US" w:bidi="ar-SA"/>
    </w:rPr>
  </w:style>
  <w:style w:type="paragraph" w:styleId="Quote">
    <w:name w:val="Quote"/>
    <w:basedOn w:val="Normal"/>
    <w:next w:val="Normal"/>
    <w:link w:val="QuoteChar"/>
    <w:uiPriority w:val="29"/>
    <w:qFormat/>
    <w:rsid w:val="009237be"/>
    <w:pPr>
      <w:spacing w:lineRule="auto" w:line="278" w:before="160" w:after="160"/>
      <w:jc w:val="center"/>
    </w:pPr>
    <w:rPr>
      <w:i/>
      <w:iCs/>
      <w:color w:themeColor="text1" w:themeTint="bf" w:val="404040"/>
      <w:kern w:val="2"/>
      <w14:ligatures w14:val="standardContextual"/>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leNormal"/>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Light">
    <w:name w:val="Grid Table Light"/>
    <w:basedOn w:val="TableNormal"/>
    <w:uiPriority w:val="40"/>
    <w:rsid w:val="00174688"/>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pitchFamily="0" charset="1"/>
        <a:ea typeface=""/>
        <a:cs typeface=""/>
      </a:majorFont>
      <a:minorFont>
        <a:latin typeface="Times New Roman"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A8C02598-9A0B-47D3-A066-81262F6B527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216</TotalTime>
  <Application>LibreOffice/26.2.5.2$Windows_X86_64 LibreOffice_project/cd7284b4cbbfeb507e630c1aac019f4157393acb</Application>
  <AppVersion>15.0000</AppVersion>
  <Pages>9</Pages>
  <Words>4465</Words>
  <Characters>15119</Characters>
  <CharactersWithSpaces>19487</CharactersWithSpaces>
  <Paragraphs>141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2026-08-05T15:03:00Z</dcterms:created>
  <dc:creator>SingPC</dc:creator>
  <dc:description/>
  <dc:language>vi-VN</dc:language>
  <cp:lastModifiedBy>Admin</cp:lastModifiedBy>
  <cp:lastPrinted>2025-07-09T08:38:00Z</cp:lastPrinted>
  <dcterms:modified xsi:type="dcterms:W3CDTF">2026-09-03T06:12:00Z</dcterms:modified>
  <cp:revision>28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255bb5a39fc904a41c304900b32311871f137a20bc4af17731ed9850a60bd228</vt:lpwstr>
  </property>
  <property fmtid="{D5CDD505-2E9C-101B-9397-08002B2CF9AE}" pid="3" name="ICV">
    <vt:lpwstr>FF8D57697FE2699A24B50068234AE690_43</vt:lpwstr>
  </property>
  <property fmtid="{D5CDD505-2E9C-101B-9397-08002B2CF9AE}" pid="4" name="KSOProductBuildVer">
    <vt:lpwstr>1033-6.10.2.8397</vt:lpwstr>
  </property>
</Properties>
</file>