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bCs/>
          <w:sz w:val="20"/>
          <w:szCs w:val="20"/>
        </w:rPr>
      </w:pPr>
      <w:r>
        <w:rPr>
          <w:rFonts w:cs="Arial" w:ascii="Arial" w:hAnsi="Arial"/>
          <w:b/>
          <w:bCs/>
          <w:sz w:val="20"/>
          <w:szCs w:val="20"/>
        </w:rPr>
        <w:t>Mẫu số 08</w:t>
      </w:r>
    </w:p>
    <w:p>
      <w:pPr>
        <w:pStyle w:val="Normal"/>
        <w:bidi w:val="0"/>
        <w:spacing w:before="120" w:after="0"/>
        <w:jc w:val="center"/>
        <w:rPr>
          <w:rFonts w:ascii="Arial" w:hAnsi="Arial" w:cs="Arial"/>
          <w:b/>
          <w:bCs/>
          <w:sz w:val="20"/>
          <w:szCs w:val="20"/>
        </w:rPr>
      </w:pPr>
      <w:r>
        <w:rPr>
          <w:rFonts w:cs="Arial" w:ascii="Arial" w:hAnsi="Arial"/>
          <w:b/>
          <w:bCs/>
          <w:sz w:val="20"/>
          <w:szCs w:val="20"/>
        </w:rPr>
        <w:t>ĐỀ XUẤT VỀ KỸ THUẬT</w:t>
      </w:r>
    </w:p>
    <w:p>
      <w:pPr>
        <w:pStyle w:val="Normal"/>
        <w:bidi w:val="0"/>
        <w:spacing w:before="120" w:after="0"/>
        <w:jc w:val="left"/>
        <w:rPr>
          <w:rFonts w:ascii="Arial" w:hAnsi="Arial" w:cs="Arial"/>
          <w:i/>
          <w:iCs/>
          <w:sz w:val="20"/>
          <w:szCs w:val="20"/>
        </w:rPr>
      </w:pPr>
      <w:r>
        <w:rPr>
          <w:rFonts w:cs="Arial" w:ascii="Arial" w:hAnsi="Arial"/>
          <w:i/>
          <w:iCs/>
          <w:sz w:val="20"/>
          <w:szCs w:val="20"/>
        </w:rPr>
        <w:t>Căn cứ quy mô, tính chất, lĩnh vực của dự án và tiêu chuẩn đánh giá về kỹ thuật, HSMT yêu cầu nhà đầu tư chuẩn bị các nội dung, biểu mẫu đề xuất về kỹ thuật và các tài liệu thuyết minh đính kèm (nếu có) làm cơ sở để đánh giá về phương án đầu tư kinh doanh, gồm các nội dung sau đây:</w:t>
      </w:r>
    </w:p>
    <w:p>
      <w:pPr>
        <w:pStyle w:val="Normal"/>
        <w:bidi w:val="0"/>
        <w:spacing w:before="120" w:after="0"/>
        <w:jc w:val="left"/>
        <w:rPr>
          <w:rFonts w:ascii="Arial" w:hAnsi="Arial" w:cs="Arial"/>
          <w:i/>
          <w:iCs/>
          <w:sz w:val="20"/>
          <w:szCs w:val="20"/>
        </w:rPr>
      </w:pPr>
      <w:r>
        <w:rPr>
          <w:rFonts w:cs="Arial" w:ascii="Arial" w:hAnsi="Arial"/>
          <w:i/>
          <w:iCs/>
          <w:sz w:val="20"/>
          <w:szCs w:val="20"/>
        </w:rPr>
        <w:t>I. Về kỹ thuật</w:t>
      </w:r>
    </w:p>
    <w:p>
      <w:pPr>
        <w:pStyle w:val="Normal"/>
        <w:bidi w:val="0"/>
        <w:spacing w:before="120" w:after="0"/>
        <w:jc w:val="left"/>
        <w:rPr>
          <w:rFonts w:ascii="Arial" w:hAnsi="Arial" w:cs="Arial"/>
          <w:i/>
          <w:iCs/>
          <w:sz w:val="20"/>
          <w:szCs w:val="20"/>
        </w:rPr>
      </w:pPr>
      <w:r>
        <w:rPr>
          <w:rFonts w:cs="Arial" w:ascii="Arial" w:hAnsi="Arial"/>
          <w:i/>
          <w:iCs/>
          <w:sz w:val="20"/>
          <w:szCs w:val="20"/>
        </w:rPr>
        <w:t>1. Phương án đầu tư công trình dự án đối với dự án đầu tư có sử dụng đất (gồm phạm vi, quy mô, sơ bộ tổng chi phí thực hiện dự án, thời gian, tiến độ, phân kỳ đầu tư xây dựng công trình, sơ đồ tổ chức không gian và kiến trúc, cảnh quan đảm bảo đồng bộ với tổng thể công trình);</w:t>
      </w:r>
    </w:p>
    <w:p>
      <w:pPr>
        <w:pStyle w:val="Normal"/>
        <w:bidi w:val="0"/>
        <w:spacing w:before="120" w:after="0"/>
        <w:jc w:val="left"/>
        <w:rPr>
          <w:rFonts w:ascii="Arial" w:hAnsi="Arial" w:cs="Arial"/>
          <w:i/>
          <w:iCs/>
          <w:sz w:val="20"/>
          <w:szCs w:val="20"/>
        </w:rPr>
      </w:pPr>
      <w:r>
        <w:rPr>
          <w:rFonts w:cs="Arial" w:ascii="Arial" w:hAnsi="Arial"/>
          <w:i/>
          <w:iCs/>
          <w:sz w:val="20"/>
          <w:szCs w:val="20"/>
        </w:rPr>
        <w:t>2. Giải pháp ứng dụng công nghệ, phương án chuyển giao công nghệ (nếu có);</w:t>
      </w:r>
    </w:p>
    <w:p>
      <w:pPr>
        <w:pStyle w:val="Normal"/>
        <w:bidi w:val="0"/>
        <w:spacing w:before="120" w:after="0"/>
        <w:jc w:val="left"/>
        <w:rPr>
          <w:rFonts w:ascii="Arial" w:hAnsi="Arial" w:cs="Arial"/>
          <w:i/>
          <w:iCs/>
          <w:sz w:val="20"/>
          <w:szCs w:val="20"/>
        </w:rPr>
      </w:pPr>
      <w:r>
        <w:rPr>
          <w:rFonts w:cs="Arial" w:ascii="Arial" w:hAnsi="Arial"/>
          <w:i/>
          <w:iCs/>
          <w:sz w:val="20"/>
          <w:szCs w:val="20"/>
        </w:rPr>
        <w:t>3. Điều kiện kinh doanh, khai thác theo quy định của pháp luật về đầu tư, pháp luật quản lý ngành, lĩnh vực (nếu có); phương án tổ chức vận hành, kinh doanh;</w:t>
      </w:r>
    </w:p>
    <w:p>
      <w:pPr>
        <w:pStyle w:val="Normal"/>
        <w:bidi w:val="0"/>
        <w:spacing w:before="120" w:after="0"/>
        <w:jc w:val="left"/>
        <w:rPr/>
      </w:pPr>
      <w:r>
        <w:rPr>
          <w:rFonts w:cs="Arial" w:ascii="Arial" w:hAnsi="Arial"/>
          <w:i/>
          <w:iCs/>
          <w:sz w:val="20"/>
          <w:szCs w:val="20"/>
        </w:rPr>
        <w:t>4. Thuyết minh về sự đồng bộ của hệ thống hạ tầng kỹ thuật, hạ tầng xã hội với nhà ở theo quy định của pháp luật về xây dựng</w:t>
      </w:r>
      <w:r>
        <w:rPr>
          <w:rFonts w:cs="Arial" w:ascii="Arial" w:hAnsi="Arial"/>
          <w:sz w:val="20"/>
          <w:szCs w:val="20"/>
        </w:rPr>
        <w:t xml:space="preserve">, </w:t>
      </w:r>
      <w:r>
        <w:rPr>
          <w:rFonts w:cs="Arial" w:ascii="Arial" w:hAnsi="Arial"/>
          <w:i/>
          <w:iCs/>
          <w:sz w:val="20"/>
          <w:szCs w:val="20"/>
        </w:rPr>
        <w:t>quản lý đô thị, nhà ở để xây dựng mới hoặc cải tạo, chỉnh trang đô thị; thuyết minh về sự phù hợp của phương án đầu tư do nhà đầu tư đề xuất với chương trình, kế hoạch phát triển nhà ở (đối với dự án đầu tư xây dựng khu đô thị có công năng phục vụ hỗn hợp);</w:t>
      </w:r>
    </w:p>
    <w:p>
      <w:pPr>
        <w:pStyle w:val="Normal"/>
        <w:bidi w:val="0"/>
        <w:spacing w:before="120" w:after="0"/>
        <w:jc w:val="left"/>
        <w:rPr>
          <w:rFonts w:ascii="Arial" w:hAnsi="Arial" w:cs="Arial"/>
          <w:i/>
          <w:iCs/>
          <w:sz w:val="20"/>
          <w:szCs w:val="20"/>
        </w:rPr>
      </w:pPr>
      <w:r>
        <w:rPr>
          <w:rFonts w:cs="Arial" w:ascii="Arial" w:hAnsi="Arial"/>
          <w:i/>
          <w:iCs/>
          <w:sz w:val="20"/>
          <w:szCs w:val="20"/>
        </w:rPr>
        <w:t>5. Thuyết minh về thời gian thực hiện dự án, thời gian hoàn thành việc bồi thường, hỗ trợ, tái định cư và bố trí chỗ ở tạm thời, về sự phù hợp của phương án đầu tư do nhà đầu tư đề xuất với chương trình, kế hoạch phát triển nhà ở, kế hoạch cải tạo, xây dựng lại nhà chung cư (đối với dự án cải tạo, xây dựng lại nhà chung cư);</w:t>
      </w:r>
    </w:p>
    <w:p>
      <w:pPr>
        <w:pStyle w:val="Normal"/>
        <w:bidi w:val="0"/>
        <w:spacing w:before="120" w:after="0"/>
        <w:jc w:val="left"/>
        <w:rPr>
          <w:rFonts w:ascii="Arial" w:hAnsi="Arial" w:cs="Arial"/>
          <w:i/>
          <w:iCs/>
          <w:sz w:val="20"/>
          <w:szCs w:val="20"/>
        </w:rPr>
      </w:pPr>
      <w:r>
        <w:rPr>
          <w:rFonts w:cs="Arial" w:ascii="Arial" w:hAnsi="Arial"/>
          <w:i/>
          <w:iCs/>
          <w:sz w:val="20"/>
          <w:szCs w:val="20"/>
        </w:rPr>
        <w:t>6. Thuyết minh về sự phù hợp của công nghệ do nhà đầu tư đề xuất với quy định về tiêu chí công nghệ xử lý chất thải rắn sinh hoạt và sự phù hợp của chất lượng xử lý chất thải rắn mà nhà đầu tư cung cấp theo quy định của pháp luật về bảo vệ môi trường (đối với dự án đầu tư xây dựng công trình xử lý chất thải rắn sinh hoạt);</w:t>
      </w:r>
    </w:p>
    <w:p>
      <w:pPr>
        <w:pStyle w:val="Normal"/>
        <w:bidi w:val="0"/>
        <w:spacing w:before="120" w:after="0"/>
        <w:jc w:val="left"/>
        <w:rPr/>
      </w:pPr>
      <w:r>
        <w:rPr>
          <w:rFonts w:cs="Arial" w:ascii="Arial" w:hAnsi="Arial"/>
          <w:sz w:val="20"/>
          <w:szCs w:val="20"/>
        </w:rPr>
        <w:t xml:space="preserve">7. </w:t>
      </w:r>
      <w:r>
        <w:rPr>
          <w:rFonts w:cs="Arial" w:ascii="Arial" w:hAnsi="Arial"/>
          <w:i/>
          <w:iCs/>
          <w:sz w:val="20"/>
          <w:szCs w:val="20"/>
        </w:rPr>
        <w:t>Thuyết minh về sự phù hợp của phương án đầu tư hệ thống đặt cược, phương án kinh doanh đặt cược với quy định của pháp luật về kinh doanh đặt cược đua ngựa, đua chó và bóng đá quốc tế (đối với dự án cá cược bóng đá quốc tế, dự án đầu tư trường đua ngựa, đua chó, trong đó có hoạt động kinh doanh đặt cược đua ngựa, đặt cược đua chó);</w:t>
      </w:r>
    </w:p>
    <w:p>
      <w:pPr>
        <w:pStyle w:val="Normal"/>
        <w:bidi w:val="0"/>
        <w:spacing w:before="120" w:after="0"/>
        <w:jc w:val="left"/>
        <w:rPr>
          <w:rFonts w:ascii="Arial" w:hAnsi="Arial" w:cs="Arial"/>
          <w:i/>
          <w:iCs/>
          <w:sz w:val="20"/>
          <w:szCs w:val="20"/>
        </w:rPr>
      </w:pPr>
      <w:r>
        <w:rPr>
          <w:rFonts w:cs="Arial" w:ascii="Arial" w:hAnsi="Arial"/>
          <w:i/>
          <w:iCs/>
          <w:sz w:val="20"/>
          <w:szCs w:val="20"/>
        </w:rPr>
        <w:t>8. Thuyết minh về chất lượng nước sạch, mức giảm tỷ lệ thất thoát nước và bảo đảm cấp nước an toàn, liên tục, ổn định (đối với dự án đầu tư xây dựng công trình cấp nước);</w:t>
      </w:r>
    </w:p>
    <w:p>
      <w:pPr>
        <w:pStyle w:val="Normal"/>
        <w:bidi w:val="0"/>
        <w:spacing w:before="120" w:after="0"/>
        <w:jc w:val="left"/>
        <w:rPr/>
      </w:pPr>
      <w:r>
        <w:rPr>
          <w:rFonts w:cs="Arial" w:ascii="Arial" w:hAnsi="Arial"/>
          <w:i/>
          <w:iCs/>
          <w:sz w:val="20"/>
          <w:szCs w:val="20"/>
        </w:rPr>
        <w:t>9. Thuyết minh về công năng chính của công trình, hạ tầng kỹ thuật, cảnh quan bảo đảm đồng bộ với tổng thể công trình, về việc cung cấp dịch vụ bảo đảm</w:t>
      </w:r>
      <w:r>
        <w:rPr>
          <w:rFonts w:cs="Arial" w:ascii="Arial" w:hAnsi="Arial"/>
          <w:sz w:val="20"/>
          <w:szCs w:val="20"/>
        </w:rPr>
        <w:t xml:space="preserve"> </w:t>
      </w:r>
      <w:r>
        <w:rPr>
          <w:rFonts w:cs="Arial" w:ascii="Arial" w:hAnsi="Arial"/>
          <w:i/>
          <w:iCs/>
          <w:sz w:val="20"/>
          <w:szCs w:val="20"/>
        </w:rPr>
        <w:t>tính liên tục (nếu có) (đối với dự án đầu tư xây dựng công trình dịch vụ hàng không tại cảng hàng không, sân bay);</w:t>
      </w:r>
    </w:p>
    <w:p>
      <w:pPr>
        <w:pStyle w:val="Normal"/>
        <w:bidi w:val="0"/>
        <w:spacing w:before="120" w:after="0"/>
        <w:jc w:val="left"/>
        <w:rPr/>
      </w:pPr>
      <w:r>
        <w:rPr>
          <w:rFonts w:cs="Arial" w:ascii="Arial" w:hAnsi="Arial"/>
          <w:i/>
          <w:iCs/>
          <w:sz w:val="20"/>
          <w:szCs w:val="20"/>
        </w:rPr>
        <w:t>10. Thuyết minh về chất lượng hàng hóa, dịch vụ mà nhà đầu tư cung cấp, sự phù hợp của phương án đầu tư do nhà đầu tư đề xuất với quy định về loại hình, tiêu chí, quy mô, tiêu chuẩn của các cơ sở thực hiện xã hội h</w:t>
      </w:r>
      <w:r>
        <w:rPr>
          <w:rFonts w:cs="Arial" w:ascii="Arial" w:hAnsi="Arial"/>
          <w:i/>
          <w:iCs/>
          <w:sz w:val="20"/>
          <w:szCs w:val="20"/>
          <w:lang w:val="en-US"/>
        </w:rPr>
        <w:t>ó</w:t>
      </w:r>
      <w:r>
        <w:rPr>
          <w:rFonts w:cs="Arial" w:ascii="Arial" w:hAnsi="Arial"/>
          <w:i/>
          <w:iCs/>
          <w:sz w:val="20"/>
          <w:szCs w:val="20"/>
        </w:rPr>
        <w:t>a (đối với dự án thuộc lĩnh vực khuyến khích xã hội hóa); yêu cầu về giải pháp áp dụng các thiết bị phục vụ công tác khám, chữa bệnh tiên tiến, hiện đại, công nghệ cao (đối với dự án thuộc lĩnh vực y tế);</w:t>
      </w:r>
    </w:p>
    <w:p>
      <w:pPr>
        <w:pStyle w:val="Normal"/>
        <w:bidi w:val="0"/>
        <w:spacing w:before="120" w:after="0"/>
        <w:jc w:val="left"/>
        <w:rPr>
          <w:rFonts w:ascii="Arial" w:hAnsi="Arial" w:cs="Arial"/>
          <w:i/>
          <w:iCs/>
          <w:sz w:val="20"/>
          <w:szCs w:val="20"/>
        </w:rPr>
      </w:pPr>
      <w:r>
        <w:rPr>
          <w:rFonts w:cs="Arial" w:ascii="Arial" w:hAnsi="Arial"/>
          <w:i/>
          <w:iCs/>
          <w:sz w:val="20"/>
          <w:szCs w:val="20"/>
        </w:rPr>
        <w:t>11. Thuyết minh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 (đối với dự án đầu tư xây dựng chợ;</w:t>
      </w:r>
    </w:p>
    <w:p>
      <w:pPr>
        <w:pStyle w:val="Normal"/>
        <w:bidi w:val="0"/>
        <w:spacing w:before="120" w:after="0"/>
        <w:jc w:val="left"/>
        <w:rPr/>
      </w:pPr>
      <w:r>
        <w:rPr>
          <w:rFonts w:cs="Arial" w:ascii="Arial" w:hAnsi="Arial"/>
          <w:i/>
          <w:iCs/>
          <w:sz w:val="20"/>
          <w:szCs w:val="20"/>
        </w:rPr>
        <w:t>12. Thuyết minh về t</w:t>
      </w:r>
      <w:r>
        <w:rPr>
          <w:rFonts w:cs="Arial" w:ascii="Arial" w:hAnsi="Arial"/>
          <w:i/>
          <w:iCs/>
          <w:sz w:val="20"/>
          <w:szCs w:val="20"/>
          <w:lang w:val="en-US"/>
        </w:rPr>
        <w:t>í</w:t>
      </w:r>
      <w:r>
        <w:rPr>
          <w:rFonts w:cs="Arial" w:ascii="Arial" w:hAnsi="Arial"/>
          <w:i/>
          <w:iCs/>
          <w:sz w:val="20"/>
          <w:szCs w:val="20"/>
        </w:rPr>
        <w:t>nh đáp ứng đối với các tiêu chuẩn khác theo hướng dẫn của Bộ Công Thương (nếu có) (đối với dự án đầu tư kinh doanh điện lực);</w:t>
      </w:r>
    </w:p>
    <w:p>
      <w:pPr>
        <w:pStyle w:val="Normal"/>
        <w:bidi w:val="0"/>
        <w:spacing w:before="120" w:after="0"/>
        <w:jc w:val="left"/>
        <w:rPr>
          <w:rFonts w:ascii="Arial" w:hAnsi="Arial" w:cs="Arial"/>
          <w:i/>
          <w:iCs/>
          <w:sz w:val="20"/>
          <w:szCs w:val="20"/>
        </w:rPr>
      </w:pPr>
      <w:r>
        <w:rPr>
          <w:rFonts w:cs="Arial" w:ascii="Arial" w:hAnsi="Arial"/>
          <w:i/>
          <w:iCs/>
          <w:sz w:val="20"/>
          <w:szCs w:val="20"/>
        </w:rPr>
        <w:t>13. Phương án đầu tư hệ thống đặt cược, phương án kinh doanh đặt cược (đối với dự án kinh doanh đặt cược bóng đá quốc tế);</w:t>
      </w:r>
    </w:p>
    <w:p>
      <w:pPr>
        <w:pStyle w:val="Normal"/>
        <w:bidi w:val="0"/>
        <w:spacing w:before="120" w:after="0"/>
        <w:jc w:val="left"/>
        <w:rPr>
          <w:rFonts w:ascii="Arial" w:hAnsi="Arial" w:cs="Arial"/>
          <w:i/>
          <w:iCs/>
          <w:sz w:val="20"/>
          <w:szCs w:val="20"/>
        </w:rPr>
      </w:pPr>
      <w:r>
        <w:rPr>
          <w:rFonts w:cs="Arial" w:ascii="Arial" w:hAnsi="Arial"/>
          <w:i/>
          <w:iCs/>
          <w:sz w:val="20"/>
          <w:szCs w:val="20"/>
        </w:rPr>
        <w:t>14. Thuyết minh về kỹ thuật chuyên ngành, phạm vi, quy mô nạo vét, khối lượng sản phẩm tận thu (đối với dự án nạo vét kết hợp thu hồi sản phẩm đối với kết cấu hạ tầng hàng hải, kết cấu hạ tầng đường thủy nội địa trong vùng nước cảng biển, vùng nước đường thủy nội địa).</w:t>
      </w:r>
    </w:p>
    <w:p>
      <w:pPr>
        <w:pStyle w:val="Normal"/>
        <w:bidi w:val="0"/>
        <w:spacing w:before="120" w:after="0"/>
        <w:jc w:val="left"/>
        <w:rPr>
          <w:rFonts w:ascii="Arial" w:hAnsi="Arial" w:cs="Arial"/>
          <w:i/>
          <w:iCs/>
          <w:sz w:val="20"/>
          <w:szCs w:val="20"/>
        </w:rPr>
      </w:pPr>
      <w:r>
        <w:rPr>
          <w:rFonts w:cs="Arial" w:ascii="Arial" w:hAnsi="Arial"/>
          <w:i/>
          <w:iCs/>
          <w:sz w:val="20"/>
          <w:szCs w:val="20"/>
        </w:rPr>
        <w:t>II. Về xã hội</w:t>
      </w:r>
    </w:p>
    <w:p>
      <w:pPr>
        <w:pStyle w:val="Normal"/>
        <w:bidi w:val="0"/>
        <w:spacing w:before="120" w:after="0"/>
        <w:jc w:val="left"/>
        <w:rPr>
          <w:rFonts w:ascii="Arial" w:hAnsi="Arial" w:cs="Arial"/>
          <w:i/>
          <w:iCs/>
          <w:sz w:val="20"/>
          <w:szCs w:val="20"/>
        </w:rPr>
      </w:pPr>
      <w:r>
        <w:rPr>
          <w:rFonts w:cs="Arial" w:ascii="Arial" w:hAnsi="Arial"/>
          <w:i/>
          <w:iCs/>
          <w:sz w:val="20"/>
          <w:szCs w:val="20"/>
        </w:rPr>
        <w:t>1. Phương án, chi phí bồi thường, hỗ trợ, tái định cư (nếu có). Trường hợp dự án có yêu cầu nhà đầu tư ứng trước kinh phí bồi thường, hỗ trợ, tái định cư thì HSMT phải quy định nguyên tắc chi trả tiền bồi thường, hỗ trợ, tái định cư theo quy định của pháp luật về đất đai. Nhà đầu tư phải cam kết trong hồ sơ dự thầu việc ứng vốn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pPr>
        <w:pStyle w:val="Normal"/>
        <w:bidi w:val="0"/>
        <w:spacing w:before="120" w:after="0"/>
        <w:jc w:val="left"/>
        <w:rPr>
          <w:rFonts w:ascii="Arial" w:hAnsi="Arial" w:cs="Arial"/>
          <w:i/>
          <w:iCs/>
          <w:sz w:val="20"/>
          <w:szCs w:val="20"/>
        </w:rPr>
      </w:pPr>
      <w:r>
        <w:rPr>
          <w:rFonts w:cs="Arial" w:ascii="Arial" w:hAnsi="Arial"/>
          <w:i/>
          <w:iCs/>
          <w:sz w:val="20"/>
          <w:szCs w:val="20"/>
        </w:rPr>
        <w:t>2. Phương án sử dụng lao động tại địa phương, đào tạo nguồn nhân lực, phương án mức thu nhập bình quân và tốc độ tăng thu nhập bình quân; phương án tổ chức hoạt động trợ giúp xã hội cho đối tượng bảo trợ xã hội hoặc các hoạt động phúc lợi xã hội khác mà nhà đầu tư đóng góp cho địa phương, phù hợp với nhu cầu của địa phương nơi thực hiện dự án);</w:t>
      </w:r>
    </w:p>
    <w:p>
      <w:pPr>
        <w:pStyle w:val="Normal"/>
        <w:bidi w:val="0"/>
        <w:spacing w:before="120" w:after="0"/>
        <w:jc w:val="left"/>
        <w:rPr/>
      </w:pPr>
      <w:r>
        <w:rPr>
          <w:rFonts w:cs="Arial" w:ascii="Arial" w:hAnsi="Arial"/>
          <w:i/>
          <w:iCs/>
          <w:sz w:val="20"/>
          <w:szCs w:val="20"/>
        </w:rPr>
        <w:t>3. Phương án đáp ứng nhu cầu và lợi ích chăm sóc sức khỏe, lợi ích về giáo dục đào tạo cho người dân (đối với dự án khuyến khích xã hội h</w:t>
      </w:r>
      <w:r>
        <w:rPr>
          <w:rFonts w:cs="Arial" w:ascii="Arial" w:hAnsi="Arial"/>
          <w:i/>
          <w:iCs/>
          <w:sz w:val="20"/>
          <w:szCs w:val="20"/>
          <w:lang w:val="en-US"/>
        </w:rPr>
        <w:t>ó</w:t>
      </w:r>
      <w:r>
        <w:rPr>
          <w:rFonts w:cs="Arial" w:ascii="Arial" w:hAnsi="Arial"/>
          <w:i/>
          <w:iCs/>
          <w:sz w:val="20"/>
          <w:szCs w:val="20"/>
        </w:rPr>
        <w:t>a thuộc lĩnh vực y tế, giáo dục);</w:t>
      </w:r>
    </w:p>
    <w:p>
      <w:pPr>
        <w:pStyle w:val="Normal"/>
        <w:bidi w:val="0"/>
        <w:spacing w:before="120" w:after="0"/>
        <w:jc w:val="left"/>
        <w:rPr/>
      </w:pPr>
      <w:r>
        <w:rPr>
          <w:rFonts w:cs="Arial" w:ascii="Arial" w:hAnsi="Arial"/>
          <w:i/>
          <w:iCs/>
          <w:sz w:val="20"/>
          <w:szCs w:val="20"/>
        </w:rPr>
        <w:t>4. Đối với dự án đầu tư xây dựng chợ, thuyết minh về phương án, chi phí bồi thường, hỗ trợ, tái định cư (nếu có); 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bào</w:t>
      </w:r>
      <w:r>
        <w:rPr>
          <w:rFonts w:cs="Arial" w:ascii="Arial" w:hAnsi="Arial"/>
          <w:sz w:val="20"/>
          <w:szCs w:val="20"/>
        </w:rPr>
        <w:t xml:space="preserve"> </w:t>
      </w:r>
      <w:r>
        <w:rPr>
          <w:rFonts w:cs="Arial" w:ascii="Arial" w:hAnsi="Arial"/>
          <w:i/>
          <w:iCs/>
          <w:sz w:val="20"/>
          <w:szCs w:val="20"/>
        </w:rPr>
        <w:t>dân tộc thiểu số và miền núi khi được lựa chọn);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pPr>
        <w:pStyle w:val="Normal"/>
        <w:bidi w:val="0"/>
        <w:spacing w:before="120" w:after="0"/>
        <w:jc w:val="left"/>
        <w:rPr>
          <w:rFonts w:ascii="Arial" w:hAnsi="Arial" w:cs="Arial"/>
          <w:i/>
          <w:iCs/>
          <w:sz w:val="20"/>
          <w:szCs w:val="20"/>
        </w:rPr>
      </w:pPr>
      <w:r>
        <w:rPr>
          <w:rFonts w:cs="Arial" w:ascii="Arial" w:hAnsi="Arial"/>
          <w:i/>
          <w:iCs/>
          <w:sz w:val="20"/>
          <w:szCs w:val="20"/>
        </w:rPr>
        <w:t>5. Đối với dự án đầu tư cải tạo, xây dựng lại nhà chung cư, phương án sử dụng lao động tại địa phương, đào tạo nguồn nhân lực, phương án tăng mức thu nhập bình quân và tốc độ tăng thu nhập bình quân; phương án tổ chức hoạt động trợ giúp xã hội cho đối tượng bảo trợ xã hội hoặc các hoạt động phúc lợi xã hội khác mà nhà đầu tư đóng góp cho địa phương, phù hợp với nhu cầu của địa phương nơi thực hiện dự án; 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pPr>
        <w:pStyle w:val="Normal"/>
        <w:bidi w:val="0"/>
        <w:spacing w:before="120" w:after="0"/>
        <w:jc w:val="left"/>
        <w:rPr>
          <w:rFonts w:ascii="Arial" w:hAnsi="Arial" w:cs="Arial"/>
          <w:i/>
          <w:iCs/>
          <w:sz w:val="20"/>
          <w:szCs w:val="20"/>
        </w:rPr>
      </w:pPr>
      <w:r>
        <w:rPr>
          <w:rFonts w:cs="Arial" w:ascii="Arial" w:hAnsi="Arial"/>
          <w:i/>
          <w:iCs/>
          <w:sz w:val="20"/>
          <w:szCs w:val="20"/>
        </w:rPr>
        <w:t>6. Đối với dự án đầu tư dự kiến triển khai trên quỹ đất có tài sản gắn liền với đất, yêu cầu về việc bán tài sản gắn liền với đất cho nhà đầu tư hoặc nhà đầu tư phải hoàn trả giá trị còn lại của tài sản gắn liền với đất đã bị phá dỡ, hủy bỏ theo quy định của pháp luật về quản lý, sử dụng tài sản công.</w:t>
      </w:r>
    </w:p>
    <w:p>
      <w:pPr>
        <w:pStyle w:val="Normal"/>
        <w:bidi w:val="0"/>
        <w:spacing w:before="120" w:after="0"/>
        <w:jc w:val="left"/>
        <w:rPr>
          <w:rFonts w:ascii="Arial" w:hAnsi="Arial" w:cs="Arial"/>
          <w:i/>
          <w:iCs/>
          <w:sz w:val="20"/>
          <w:szCs w:val="20"/>
        </w:rPr>
      </w:pPr>
      <w:r>
        <w:rPr>
          <w:rFonts w:cs="Arial" w:ascii="Arial" w:hAnsi="Arial"/>
          <w:i/>
          <w:iCs/>
          <w:sz w:val="20"/>
          <w:szCs w:val="20"/>
        </w:rPr>
        <w:t>Nhà đầu tư phải cam kết trong hồ sơ dự thầu việc nộp số tiền với giá trị của tài sản được xác định tại hồ sơ mời thầu. Giá trị này độc lập với nghĩa vụ nộp ngân sách nhà nước nhà đầu tư đề xuất trong hồ sơ dự thầu, nghĩa vụ nộp tiền sử dụng đất, tiền thuê đất và các nghĩa vụ tài chính khác của nhà đầu tư đối với ngân sách nhà nước theo quy định của pháp luật.</w:t>
      </w:r>
    </w:p>
    <w:p>
      <w:pPr>
        <w:pStyle w:val="Normal"/>
        <w:bidi w:val="0"/>
        <w:spacing w:before="120" w:after="0"/>
        <w:jc w:val="left"/>
        <w:rPr>
          <w:rFonts w:ascii="Arial" w:hAnsi="Arial" w:cs="Arial"/>
          <w:i/>
          <w:iCs/>
          <w:sz w:val="20"/>
          <w:szCs w:val="20"/>
        </w:rPr>
      </w:pPr>
      <w:r>
        <w:rPr>
          <w:rFonts w:cs="Arial" w:ascii="Arial" w:hAnsi="Arial"/>
          <w:i/>
          <w:iCs/>
          <w:sz w:val="20"/>
          <w:szCs w:val="20"/>
        </w:rPr>
        <w:t>III. Về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Căn cứ yêu cầu tại HSMT, nhà đầu tư đề xuất một hoặc các nội dung sau phù hợp với yêu cầu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1. Thuyết minh về sự phù hợp của hàng hóa, dịch vụ cung cấp với quy định của pháp luật về môi trường; phương án giảm phát sinh chất thải, thúc đẩy sản phẩm, dịch vụ thân thiện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2. Giải pháp về bảo vệ môi trường, sản xuất sạch, tiết kiệm năng lượng;</w:t>
      </w:r>
    </w:p>
    <w:p>
      <w:pPr>
        <w:pStyle w:val="Normal"/>
        <w:bidi w:val="0"/>
        <w:spacing w:before="120" w:after="0"/>
        <w:jc w:val="left"/>
        <w:rPr>
          <w:rFonts w:ascii="Arial" w:hAnsi="Arial" w:cs="Arial"/>
          <w:i/>
          <w:iCs/>
          <w:sz w:val="20"/>
          <w:szCs w:val="20"/>
        </w:rPr>
      </w:pPr>
      <w:r>
        <w:rPr>
          <w:rFonts w:cs="Arial" w:ascii="Arial" w:hAnsi="Arial"/>
          <w:i/>
          <w:iCs/>
          <w:sz w:val="20"/>
          <w:szCs w:val="20"/>
        </w:rPr>
        <w:t>3. Phương án sử dụng đất (gồm chỉ tiêu, hệ số sử dụng đất theo quy định của pháp luật về đất đai, xây dựng đối với dự án đầu tư có sử dụng đất), sử dụng tài nguyên; phương án bảo tồn đa dạng sinh học, cải thiện đất, tài nguyên, hệ sinh thái tự nhiên tại khu vực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4. Giải pháp giảm thiểu tác động xấu tới môi trường, công nghệ tiên tiến, công nghệ cao, công nghệ thân thiện môi trường, kỹ thuật hiện có tốt nhất được chuyển giao và áp dụng (đối với dự án thuộc nhóm có nguy cơ tác động xấu đến môi trường mức độ cao theo quy định của pháp luật về bảo vệ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5. Đối với dự án nạo vét kết hợp thu hồi sản phẩm đối với kết cấu hạ tầng hàng hải, kết cấu hạ tầng đường thủy nội địa trong vùng nước cảng biển, vùng nước đường thủy nội địa, thuyết minh về:</w:t>
      </w:r>
    </w:p>
    <w:p>
      <w:pPr>
        <w:pStyle w:val="Normal"/>
        <w:bidi w:val="0"/>
        <w:spacing w:before="120" w:after="0"/>
        <w:jc w:val="left"/>
        <w:rPr/>
      </w:pPr>
      <w:r>
        <w:rPr>
          <w:rFonts w:cs="Arial" w:ascii="Arial" w:hAnsi="Arial"/>
          <w:sz w:val="20"/>
          <w:szCs w:val="20"/>
        </w:rPr>
        <w:t xml:space="preserve">- </w:t>
      </w:r>
      <w:r>
        <w:rPr>
          <w:rFonts w:cs="Arial" w:ascii="Arial" w:hAnsi="Arial"/>
          <w:i/>
          <w:iCs/>
          <w:sz w:val="20"/>
          <w:szCs w:val="20"/>
        </w:rPr>
        <w:t>Sự phù hợp của hàng hóa, dịch vụ cung cấp với quy định của pháp luật về môi trường; ưu tiên giảm phát sinh chất thải, thúc đẩy sản phẩm</w:t>
      </w:r>
      <w:r>
        <w:rPr>
          <w:rFonts w:cs="Arial" w:ascii="Arial" w:hAnsi="Arial"/>
          <w:i/>
          <w:iCs/>
          <w:sz w:val="20"/>
          <w:szCs w:val="20"/>
          <w:lang w:val="en-US"/>
        </w:rPr>
        <w:t>,</w:t>
      </w:r>
      <w:r>
        <w:rPr>
          <w:rFonts w:cs="Arial" w:ascii="Arial" w:hAnsi="Arial"/>
          <w:i/>
          <w:iCs/>
          <w:sz w:val="20"/>
          <w:szCs w:val="20"/>
        </w:rPr>
        <w:t xml:space="preserve"> dịch vụ thân thiện môi trường;</w:t>
      </w:r>
    </w:p>
    <w:p>
      <w:pPr>
        <w:pStyle w:val="Normal"/>
        <w:bidi w:val="0"/>
        <w:spacing w:before="120" w:after="0"/>
        <w:jc w:val="left"/>
        <w:rPr/>
      </w:pPr>
      <w:r>
        <w:rPr>
          <w:rFonts w:cs="Arial" w:ascii="Arial" w:hAnsi="Arial"/>
          <w:sz w:val="20"/>
          <w:szCs w:val="20"/>
        </w:rPr>
        <w:t xml:space="preserve">- </w:t>
      </w:r>
      <w:r>
        <w:rPr>
          <w:rFonts w:cs="Arial" w:ascii="Arial" w:hAnsi="Arial"/>
          <w:i/>
          <w:iCs/>
          <w:sz w:val="20"/>
          <w:szCs w:val="20"/>
        </w:rPr>
        <w:t>Giải pháp về bảo vệ môi trường, sản xuất sạch, tiết kiệm năng lượng;</w:t>
      </w:r>
    </w:p>
    <w:p>
      <w:pPr>
        <w:pStyle w:val="Normal"/>
        <w:bidi w:val="0"/>
        <w:spacing w:before="120" w:after="0"/>
        <w:jc w:val="left"/>
        <w:rPr>
          <w:rFonts w:ascii="Arial" w:hAnsi="Arial" w:cs="Arial"/>
          <w:i/>
          <w:iCs/>
          <w:sz w:val="20"/>
          <w:szCs w:val="20"/>
        </w:rPr>
      </w:pPr>
      <w:r>
        <w:rPr>
          <w:rFonts w:cs="Arial" w:ascii="Arial" w:hAnsi="Arial"/>
          <w:i/>
          <w:iCs/>
          <w:sz w:val="20"/>
          <w:szCs w:val="20"/>
        </w:rPr>
        <w:t>- Phương án sử dụng tài nguyên thiên nhiên, khả năng bảo tồn đa dạng sinh học, hoặc cải tạo tài nguyên, hệ sinh thái tự nhiên tại khu vực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 Sự phù hợp của hàng hóa, dịch vụ cung cấp với quy định của pháp luật về môi trường;</w:t>
      </w:r>
    </w:p>
    <w:p>
      <w:pPr>
        <w:pStyle w:val="Normal"/>
        <w:bidi w:val="0"/>
        <w:spacing w:before="120" w:after="0"/>
        <w:jc w:val="left"/>
        <w:rPr>
          <w:rFonts w:ascii="Arial" w:hAnsi="Arial" w:cs="Arial"/>
          <w:i/>
          <w:iCs/>
          <w:sz w:val="20"/>
          <w:szCs w:val="20"/>
        </w:rPr>
      </w:pPr>
      <w:r>
        <w:rPr>
          <w:rFonts w:cs="Arial" w:ascii="Arial" w:hAnsi="Arial"/>
          <w:i/>
          <w:iCs/>
          <w:sz w:val="20"/>
          <w:szCs w:val="20"/>
        </w:rPr>
        <w:t>- Giải pháp nạo vét vùng nước cảng biển, vùng nước đường thủy nội địa để hạn chế tận thu sản phẩm ảnh hưởng đến vùng nước cảng biển, vùng nước đường thủy nội địa.]</w:t>
      </w:r>
    </w:p>
    <w:p>
      <w:pPr>
        <w:pStyle w:val="Normal"/>
        <w:bidi w:val="0"/>
        <w:spacing w:before="120" w:after="0"/>
        <w:jc w:val="left"/>
        <w:rPr>
          <w:rFonts w:ascii="Arial" w:hAnsi="Arial" w:cs="Arial"/>
          <w:i/>
          <w:iCs/>
          <w:sz w:val="20"/>
          <w:szCs w:val="20"/>
        </w:rPr>
      </w:pPr>
      <w:r>
        <w:rPr>
          <w:rFonts w:cs="Arial" w:ascii="Arial" w:hAnsi="Arial"/>
          <w:i/>
          <w:iCs/>
          <w:sz w:val="20"/>
          <w:szCs w:val="20"/>
        </w:rPr>
        <w:t>IV. Về thực hiện dự án</w:t>
      </w:r>
    </w:p>
    <w:p>
      <w:pPr>
        <w:pStyle w:val="Normal"/>
        <w:bidi w:val="0"/>
        <w:spacing w:before="120" w:after="0"/>
        <w:jc w:val="left"/>
        <w:rPr>
          <w:rFonts w:ascii="Arial" w:hAnsi="Arial" w:cs="Arial"/>
          <w:i/>
          <w:iCs/>
          <w:sz w:val="20"/>
          <w:szCs w:val="20"/>
        </w:rPr>
      </w:pPr>
      <w:r>
        <w:rPr>
          <w:rFonts w:cs="Arial" w:ascii="Arial" w:hAnsi="Arial"/>
          <w:i/>
          <w:iCs/>
          <w:sz w:val="20"/>
          <w:szCs w:val="20"/>
        </w:rPr>
        <w:t>Nhà đầu tư phải đề xuất hình thức quản lý thực hiện dự án (thành lập tổ chức kinh tế để thực hiện dự án hoặc trực tiếp thực hiện dự án) và cam kết triển khai thực hiện dự án đầu tư kinh doanh theo quy định tại hợp đồng, pháp luật về doanh nghiệp, đầu tư, xây dựng, đất đai, kinh doanh bất động sản, pháp luật có liên quan.</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Đối với dự án đầu tư có sử dụng đất, nhà đầu tư nước ngoài trúng thầu phải thành lập tổ chức kinh tế để được giao đất, cho thuê đất thực hiện dự án theo quy định của pháp luật về đất đai.</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3</Pages>
  <Words>2104</Words>
  <Characters>7185</Characters>
  <CharactersWithSpaces>9248</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2026-07-15T16:30:53Z</dcterms:created>
  <dc:creator/>
  <dc:description/>
  <dc:language>vi-VN</dc:language>
  <cp:lastModifiedBy/>
  <dcterms:modified xsi:type="dcterms:W3CDTF">2026-07-15T16:31:11Z</dcterms:modified>
  <cp:revision>1</cp:revision>
  <dc:subject/>
  <dc:title/>
</cp:coreProperties>
</file>