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0"/>
        <w:gridCol w:w="5610"/>
      </w:tblGrid>
      <w:tr w:rsidR="00FC42AB" w:rsidRPr="00076D3D" w:rsidTr="00AA40C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FC42AB" w:rsidRPr="00A858DB" w:rsidRDefault="00FC42AB" w:rsidP="00FC42AB">
            <w:pPr>
              <w:jc w:val="center"/>
              <w:rPr>
                <w:rFonts w:ascii="Arial" w:hAnsi="Arial" w:cs="Arial"/>
                <w:bCs/>
                <w:sz w:val="20"/>
                <w:szCs w:val="20"/>
                <w:lang w:val="en-US"/>
              </w:rPr>
            </w:pPr>
            <w:bookmarkStart w:id="0" w:name="_GoBack"/>
            <w:r w:rsidRPr="00A858DB">
              <w:rPr>
                <w:rFonts w:ascii="Arial" w:hAnsi="Arial" w:cs="Arial"/>
                <w:bCs/>
                <w:sz w:val="20"/>
                <w:szCs w:val="20"/>
                <w:lang w:val="en-US"/>
              </w:rPr>
              <w:t>TỔNG CỤC THUẾ</w:t>
            </w:r>
          </w:p>
          <w:p w:rsidR="00FC42AB" w:rsidRPr="00076D3D" w:rsidRDefault="00FC42AB" w:rsidP="00FC42AB">
            <w:pPr>
              <w:jc w:val="center"/>
              <w:rPr>
                <w:rFonts w:ascii="Arial" w:hAnsi="Arial" w:cs="Arial"/>
                <w:sz w:val="20"/>
                <w:szCs w:val="20"/>
              </w:rPr>
            </w:pPr>
            <w:r>
              <w:rPr>
                <w:rFonts w:ascii="Arial" w:hAnsi="Arial" w:cs="Arial"/>
                <w:b/>
                <w:bCs/>
                <w:sz w:val="20"/>
                <w:szCs w:val="20"/>
                <w:lang w:val="en-US"/>
              </w:rPr>
              <w:t>CỤC THUẾ TỈNH LONG AN</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FC42AB" w:rsidRPr="00076D3D" w:rsidRDefault="00FC42AB" w:rsidP="00FC42AB">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FC42AB" w:rsidRPr="00076D3D" w:rsidTr="00AA40CA">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FC42AB" w:rsidRPr="00FC7926" w:rsidRDefault="00FC42AB" w:rsidP="00FC42AB">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2659B5">
              <w:rPr>
                <w:rFonts w:ascii="Arial" w:hAnsi="Arial" w:cs="Arial"/>
                <w:sz w:val="20"/>
                <w:szCs w:val="20"/>
                <w:lang w:val="en-US"/>
              </w:rPr>
              <w:t>5363</w:t>
            </w:r>
            <w:r w:rsidRPr="00FC7926">
              <w:rPr>
                <w:rFonts w:ascii="Arial" w:hAnsi="Arial" w:cs="Arial"/>
                <w:sz w:val="20"/>
                <w:szCs w:val="20"/>
              </w:rPr>
              <w:t>/CT</w:t>
            </w:r>
            <w:r>
              <w:rPr>
                <w:rFonts w:ascii="Arial" w:hAnsi="Arial" w:cs="Arial"/>
                <w:sz w:val="20"/>
                <w:szCs w:val="20"/>
                <w:lang w:val="en-US"/>
              </w:rPr>
              <w:t>LAN</w:t>
            </w:r>
            <w:r w:rsidRPr="00FC7926">
              <w:rPr>
                <w:rFonts w:ascii="Arial" w:hAnsi="Arial" w:cs="Arial"/>
                <w:sz w:val="20"/>
                <w:szCs w:val="20"/>
              </w:rPr>
              <w:t>-TTHT</w:t>
            </w:r>
          </w:p>
          <w:p w:rsidR="00FC42AB" w:rsidRPr="00FC7926" w:rsidRDefault="00FC42AB" w:rsidP="00FC42AB">
            <w:pPr>
              <w:pStyle w:val="Vnbnnidung20"/>
              <w:jc w:val="center"/>
              <w:rPr>
                <w:rFonts w:ascii="Arial" w:hAnsi="Arial" w:cs="Arial"/>
                <w:sz w:val="20"/>
                <w:szCs w:val="20"/>
              </w:rPr>
            </w:pPr>
            <w:r w:rsidRPr="00FC7926">
              <w:rPr>
                <w:rFonts w:ascii="Arial" w:hAnsi="Arial" w:cs="Arial"/>
                <w:sz w:val="20"/>
                <w:szCs w:val="20"/>
              </w:rPr>
              <w:t xml:space="preserve">V/v </w:t>
            </w:r>
            <w:r w:rsidRPr="00FC42AB">
              <w:rPr>
                <w:rFonts w:ascii="Arial" w:hAnsi="Arial" w:cs="Arial"/>
                <w:color w:val="auto"/>
                <w:sz w:val="20"/>
                <w:szCs w:val="20"/>
              </w:rPr>
              <w:t>xuất hóa đơn điều chỉnh</w:t>
            </w:r>
            <w:r w:rsidRPr="00FC42AB">
              <w:rPr>
                <w:rFonts w:ascii="Arial" w:hAnsi="Arial" w:cs="Arial"/>
                <w:color w:val="auto"/>
                <w:sz w:val="20"/>
                <w:szCs w:val="20"/>
              </w:rPr>
              <w:br/>
              <w:t xml:space="preserve"> thuế GTGT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FC42AB" w:rsidRPr="002659B5" w:rsidRDefault="00FC42AB" w:rsidP="00FC42AB">
            <w:pPr>
              <w:jc w:val="center"/>
              <w:rPr>
                <w:rFonts w:ascii="Arial" w:hAnsi="Arial" w:cs="Arial"/>
                <w:sz w:val="20"/>
                <w:szCs w:val="20"/>
                <w:lang w:val="en-US"/>
              </w:rPr>
            </w:pPr>
            <w:r>
              <w:rPr>
                <w:rFonts w:ascii="Arial" w:hAnsi="Arial" w:cs="Arial"/>
                <w:i/>
                <w:iCs/>
                <w:sz w:val="20"/>
                <w:szCs w:val="20"/>
                <w:lang w:val="en-US"/>
              </w:rPr>
              <w:t>Long An</w:t>
            </w:r>
            <w:r>
              <w:rPr>
                <w:rFonts w:ascii="Arial" w:hAnsi="Arial" w:cs="Arial"/>
                <w:i/>
                <w:iCs/>
                <w:sz w:val="20"/>
                <w:szCs w:val="20"/>
              </w:rPr>
              <w:t>, ngày</w:t>
            </w:r>
            <w:r>
              <w:rPr>
                <w:rFonts w:ascii="Arial" w:hAnsi="Arial" w:cs="Arial"/>
                <w:i/>
                <w:iCs/>
                <w:sz w:val="20"/>
                <w:szCs w:val="20"/>
                <w:lang w:val="en-US"/>
              </w:rPr>
              <w:t xml:space="preserve"> </w:t>
            </w:r>
            <w:r w:rsidR="002659B5">
              <w:rPr>
                <w:rFonts w:ascii="Arial" w:hAnsi="Arial" w:cs="Arial"/>
                <w:i/>
                <w:iCs/>
                <w:sz w:val="20"/>
                <w:szCs w:val="20"/>
                <w:lang w:val="en-US"/>
              </w:rPr>
              <w:t>29</w:t>
            </w:r>
            <w:r>
              <w:rPr>
                <w:rFonts w:ascii="Arial" w:hAnsi="Arial" w:cs="Arial"/>
                <w:i/>
                <w:iCs/>
                <w:sz w:val="20"/>
                <w:szCs w:val="20"/>
              </w:rPr>
              <w:t xml:space="preserve"> tháng </w:t>
            </w:r>
            <w:r w:rsidR="002659B5">
              <w:rPr>
                <w:rFonts w:ascii="Arial" w:hAnsi="Arial" w:cs="Arial"/>
                <w:i/>
                <w:iCs/>
                <w:sz w:val="20"/>
                <w:szCs w:val="20"/>
                <w:lang w:val="en-US"/>
              </w:rPr>
              <w:t>12</w:t>
            </w:r>
            <w:r w:rsidRPr="005E2C81">
              <w:rPr>
                <w:rFonts w:ascii="Arial" w:hAnsi="Arial" w:cs="Arial"/>
                <w:i/>
                <w:iCs/>
                <w:sz w:val="20"/>
                <w:szCs w:val="20"/>
              </w:rPr>
              <w:t xml:space="preserve"> năm 20</w:t>
            </w:r>
            <w:r w:rsidR="002659B5">
              <w:rPr>
                <w:rFonts w:ascii="Arial" w:hAnsi="Arial" w:cs="Arial"/>
                <w:i/>
                <w:iCs/>
                <w:sz w:val="20"/>
                <w:szCs w:val="20"/>
                <w:lang w:val="en-US"/>
              </w:rPr>
              <w:t>23</w:t>
            </w:r>
          </w:p>
        </w:tc>
      </w:tr>
    </w:tbl>
    <w:p w:rsidR="00FC42AB" w:rsidRDefault="00FC42AB" w:rsidP="00FC42AB">
      <w:pPr>
        <w:pStyle w:val="Vnbnnidung0"/>
        <w:spacing w:line="240" w:lineRule="auto"/>
        <w:ind w:firstLine="0"/>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00FC42AB" w:rsidTr="00AA40CA">
        <w:trPr>
          <w:trHeight w:val="63"/>
        </w:trPr>
        <w:tc>
          <w:tcPr>
            <w:tcW w:w="3114" w:type="dxa"/>
          </w:tcPr>
          <w:p w:rsidR="00FC42AB" w:rsidRPr="00FC42AB" w:rsidRDefault="00FC42AB" w:rsidP="00FC42AB">
            <w:pPr>
              <w:pStyle w:val="Vnbnnidung0"/>
              <w:spacing w:line="240" w:lineRule="auto"/>
              <w:ind w:firstLine="0"/>
              <w:jc w:val="right"/>
              <w:rPr>
                <w:rFonts w:ascii="Arial" w:hAnsi="Arial" w:cs="Arial"/>
                <w:i w:val="0"/>
                <w:sz w:val="20"/>
                <w:szCs w:val="20"/>
              </w:rPr>
            </w:pPr>
            <w:r w:rsidRPr="00FC42AB">
              <w:rPr>
                <w:rFonts w:ascii="Arial" w:hAnsi="Arial" w:cs="Arial"/>
                <w:i w:val="0"/>
                <w:sz w:val="20"/>
                <w:szCs w:val="20"/>
              </w:rPr>
              <w:t xml:space="preserve">Kính gửi: </w:t>
            </w:r>
          </w:p>
        </w:tc>
        <w:tc>
          <w:tcPr>
            <w:tcW w:w="5896" w:type="dxa"/>
            <w:vAlign w:val="center"/>
          </w:tcPr>
          <w:p w:rsidR="00FC42AB" w:rsidRDefault="00FC42AB" w:rsidP="00FC42AB">
            <w:pPr>
              <w:pStyle w:val="NormalWeb"/>
              <w:spacing w:before="0" w:beforeAutospacing="0" w:after="0" w:afterAutospacing="0"/>
              <w:jc w:val="both"/>
              <w:rPr>
                <w:rFonts w:ascii="Arial" w:hAnsi="Arial" w:cs="Arial"/>
                <w:sz w:val="20"/>
                <w:szCs w:val="20"/>
              </w:rPr>
            </w:pPr>
            <w:r w:rsidRPr="00FC42AB">
              <w:rPr>
                <w:rFonts w:ascii="Arial" w:hAnsi="Arial" w:cs="Arial"/>
                <w:sz w:val="20"/>
                <w:szCs w:val="20"/>
              </w:rPr>
              <w:t xml:space="preserve">Công Ty TNHH Một Thành Viên Khánh Quỳnh Long An; </w:t>
            </w:r>
          </w:p>
          <w:p w:rsidR="00FC42AB" w:rsidRPr="00FC42AB" w:rsidRDefault="00FC42AB" w:rsidP="00FC42AB">
            <w:pPr>
              <w:pStyle w:val="NormalWeb"/>
              <w:spacing w:before="0" w:beforeAutospacing="0" w:after="0" w:afterAutospacing="0"/>
              <w:jc w:val="both"/>
              <w:rPr>
                <w:sz w:val="20"/>
                <w:szCs w:val="20"/>
              </w:rPr>
            </w:pPr>
            <w:r w:rsidRPr="00FC42AB">
              <w:rPr>
                <w:rFonts w:ascii="Arial" w:hAnsi="Arial" w:cs="Arial"/>
                <w:sz w:val="20"/>
                <w:szCs w:val="20"/>
              </w:rPr>
              <w:t>Mã số thuế: 1101803206;</w:t>
            </w:r>
          </w:p>
          <w:p w:rsidR="00FC42AB" w:rsidRDefault="00FC42AB" w:rsidP="00FC42AB">
            <w:pPr>
              <w:pStyle w:val="NormalWeb"/>
              <w:spacing w:before="0" w:beforeAutospacing="0" w:after="0" w:afterAutospacing="0"/>
              <w:jc w:val="both"/>
              <w:rPr>
                <w:rFonts w:ascii="Arial" w:hAnsi="Arial" w:cs="Arial"/>
                <w:sz w:val="20"/>
                <w:szCs w:val="20"/>
              </w:rPr>
            </w:pPr>
            <w:r w:rsidRPr="00FC42AB">
              <w:rPr>
                <w:rFonts w:ascii="Arial" w:hAnsi="Arial" w:cs="Arial"/>
                <w:sz w:val="20"/>
                <w:szCs w:val="20"/>
              </w:rPr>
              <w:t xml:space="preserve">Địa chỉ nhận thông báo: Lô MF1, Lô MF1-1, Đường số 5, </w:t>
            </w:r>
          </w:p>
          <w:p w:rsidR="00FC42AB" w:rsidRDefault="00FC42AB" w:rsidP="00FC42AB">
            <w:pPr>
              <w:pStyle w:val="NormalWeb"/>
              <w:spacing w:before="0" w:beforeAutospacing="0" w:after="0" w:afterAutospacing="0"/>
              <w:jc w:val="both"/>
              <w:rPr>
                <w:rFonts w:ascii="Arial" w:hAnsi="Arial" w:cs="Arial"/>
                <w:sz w:val="20"/>
                <w:szCs w:val="20"/>
              </w:rPr>
            </w:pPr>
            <w:r w:rsidRPr="00FC42AB">
              <w:rPr>
                <w:rFonts w:ascii="Arial" w:hAnsi="Arial" w:cs="Arial"/>
                <w:sz w:val="20"/>
                <w:szCs w:val="20"/>
              </w:rPr>
              <w:t xml:space="preserve">KCN Đức Hòa 1, ấp 5, Xã Đức Hòa Đông, Huyện Đức Hoà, </w:t>
            </w:r>
          </w:p>
          <w:p w:rsidR="00FC42AB" w:rsidRPr="00FC42AB" w:rsidRDefault="00FC42AB" w:rsidP="00FC42AB">
            <w:pPr>
              <w:pStyle w:val="NormalWeb"/>
              <w:spacing w:before="0" w:beforeAutospacing="0" w:after="0" w:afterAutospacing="0"/>
              <w:jc w:val="both"/>
              <w:rPr>
                <w:sz w:val="20"/>
                <w:szCs w:val="20"/>
              </w:rPr>
            </w:pPr>
            <w:r w:rsidRPr="00FC42AB">
              <w:rPr>
                <w:rFonts w:ascii="Arial" w:hAnsi="Arial" w:cs="Arial"/>
                <w:sz w:val="20"/>
                <w:szCs w:val="20"/>
              </w:rPr>
              <w:t>Tỉnh Long An.</w:t>
            </w:r>
          </w:p>
        </w:tc>
      </w:tr>
    </w:tbl>
    <w:p w:rsidR="002659B5" w:rsidRDefault="002659B5" w:rsidP="00FC42AB">
      <w:pPr>
        <w:pStyle w:val="NormalWeb"/>
        <w:spacing w:before="0" w:beforeAutospacing="0" w:after="120" w:afterAutospacing="0"/>
        <w:ind w:firstLine="720"/>
        <w:jc w:val="both"/>
        <w:rPr>
          <w:rFonts w:ascii="Arial" w:hAnsi="Arial" w:cs="Arial"/>
          <w:sz w:val="20"/>
          <w:szCs w:val="20"/>
        </w:rPr>
      </w:pP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Trả lời văn bản số 01-2023/CVT-KQLA ngày 18/12/2023 của Công Ty TNHH Một Thành Viên Khánh Quỳnh Long An (gọi tắt là Công ty) về việc xuất hóa đơn điều chỉnh thuế GTGT, Cục Thuế có ý kiến như sau:</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 Căn cứ Khoản 5 Điều 12 Thông tư số 219/2013/TT-BTC ngày 31/12/2013 quy định về xác định số thuế GTGT phải nộp:</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“Điều 12. Phương pháp khấu trừ thuế</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2659B5">
        <w:rPr>
          <w:rFonts w:ascii="Arial" w:hAnsi="Arial" w:cs="Arial"/>
          <w:i/>
          <w:sz w:val="20"/>
          <w:szCs w:val="20"/>
        </w:rPr>
        <w:t>5. Xác định số thuế GTGT phải nộp:</w:t>
      </w:r>
    </w:p>
    <w:p w:rsidR="002659B5" w:rsidRPr="002659B5" w:rsidRDefault="002659B5"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2659B5">
        <w:rPr>
          <w:rFonts w:ascii="Arial" w:hAnsi="Arial" w:cs="Arial"/>
          <w:i/>
          <w:sz w:val="20"/>
          <w:szCs w:val="20"/>
        </w:rPr>
        <w:t>a)</w:t>
      </w:r>
      <w:r w:rsidR="002659B5" w:rsidRPr="002659B5">
        <w:rPr>
          <w:rFonts w:ascii="Arial" w:hAnsi="Arial" w:cs="Arial"/>
          <w:i/>
          <w:sz w:val="20"/>
          <w:szCs w:val="20"/>
        </w:rPr>
        <w:t> </w:t>
      </w:r>
      <w:r w:rsidRPr="002659B5">
        <w:rPr>
          <w:rFonts w:ascii="Arial" w:hAnsi="Arial" w:cs="Arial"/>
          <w:i/>
          <w:sz w:val="20"/>
          <w:szCs w:val="20"/>
        </w:rPr>
        <w:t>Số thuế giá trị gia tăng đầu ra bằng tổng số thuế giá trị gia tăng của hàng hóa, dịch vụ bán ra ghi trên hóa đơn giá trị gia tăng.</w:t>
      </w:r>
    </w:p>
    <w:p w:rsidR="002659B5" w:rsidRPr="002659B5" w:rsidRDefault="002659B5"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2659B5">
        <w:rPr>
          <w:rFonts w:ascii="Arial" w:hAnsi="Arial" w:cs="Arial"/>
          <w:i/>
          <w:sz w:val="20"/>
          <w:szCs w:val="20"/>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2659B5" w:rsidRPr="002659B5" w:rsidRDefault="002659B5"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 Căn cứ khoản 2 Điều 19 Nghị định số 123/2020/NĐ-CP ngày 19/10/2020 của Chính phủ quy định về xử lý hóa đơn có sai sót:</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“Điều 19. Xử lý hóa đơn có sai sót</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2659B5">
        <w:rPr>
          <w:rFonts w:ascii="Arial" w:hAnsi="Arial" w:cs="Arial"/>
          <w:i/>
          <w:sz w:val="20"/>
          <w:szCs w:val="20"/>
        </w:rPr>
        <w:t>2.</w:t>
      </w:r>
      <w:r w:rsidR="002659B5" w:rsidRPr="002659B5">
        <w:rPr>
          <w:rFonts w:ascii="Arial" w:hAnsi="Arial" w:cs="Arial"/>
          <w:i/>
          <w:sz w:val="20"/>
          <w:szCs w:val="20"/>
        </w:rPr>
        <w:t xml:space="preserve"> </w:t>
      </w:r>
      <w:r w:rsidRPr="002659B5">
        <w:rPr>
          <w:rFonts w:ascii="Arial" w:hAnsi="Arial" w:cs="Arial"/>
          <w:i/>
          <w:sz w:val="20"/>
          <w:szCs w:val="20"/>
        </w:rPr>
        <w:t>Trường hợp hóa đơn điện tử có mã của cơ quan thuế hoặc hóa đơn điện tử không có mã của cơ quan thuế đã gửi cho người mua mà người mua hoặc người bán phát hiện có sai sót thì xử lý như sau:</w:t>
      </w:r>
    </w:p>
    <w:p w:rsidR="002659B5" w:rsidRPr="002659B5" w:rsidRDefault="002659B5"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b)</w:t>
      </w:r>
      <w:r w:rsidR="002659B5" w:rsidRPr="002659B5">
        <w:rPr>
          <w:rFonts w:ascii="Arial" w:hAnsi="Arial" w:cs="Arial"/>
          <w:i/>
          <w:sz w:val="20"/>
          <w:szCs w:val="20"/>
        </w:rPr>
        <w:t xml:space="preserve"> </w:t>
      </w:r>
      <w:r w:rsidRPr="002659B5">
        <w:rPr>
          <w:rFonts w:ascii="Arial" w:hAnsi="Arial" w:cs="Arial"/>
          <w:i/>
          <w:sz w:val="20"/>
          <w:szCs w:val="20"/>
        </w:rPr>
        <w:t>Trường hợp có sai: mã số thuế; sai sót về số tiền ghi trên hóa đơn, sai về thuế suất, tiền thuế hoặc hàng hóa ghi trên hóa đơn không đúng quy cách, chất lượng thì có thể lựa chọn một trong hai cách sử dụng hóa đơn điện tử như sau:</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b1) Người bán lập hóa đơn điện tử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Hóa đơn điện tử điều chỉnh hóa đơn điện tử đã lập có sai sót phải có dòng chữ “Điều chỉnh cho hóa đơn M</w:t>
      </w:r>
      <w:r w:rsidR="002659B5" w:rsidRPr="002659B5">
        <w:rPr>
          <w:rFonts w:ascii="Arial" w:hAnsi="Arial" w:cs="Arial"/>
          <w:i/>
          <w:sz w:val="20"/>
          <w:szCs w:val="20"/>
        </w:rPr>
        <w:t>ẫ</w:t>
      </w:r>
      <w:r w:rsidRPr="002659B5">
        <w:rPr>
          <w:rFonts w:ascii="Arial" w:hAnsi="Arial" w:cs="Arial"/>
          <w:i/>
          <w:sz w:val="20"/>
          <w:szCs w:val="20"/>
        </w:rPr>
        <w:t>u số... ký hiệu... số... ngày... tháng... năm”.</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lastRenderedPageBreak/>
        <w:t>b2) Người bán lập hóa đơn điện tử mới thay thế cho hóa đơn điện tử có sai sót trừ trường hợp người bán và người mua có thỏa thuận về việc lập văn bản thỏa thuận trước khi lập hóa đơn thay thế cho hóa đơn đã lập có sai sót thì người bán và người mua lập văn bản thỏa thuận ghi rõ sai sót, sau đó người bán lập hóa đơn điện tử thay thế hóa đơn đã lập có sai sót.</w:t>
      </w:r>
    </w:p>
    <w:p w:rsidR="00FC42AB" w:rsidRPr="002659B5" w:rsidRDefault="00FC42AB" w:rsidP="00FC42AB">
      <w:pPr>
        <w:pStyle w:val="NormalWeb"/>
        <w:spacing w:before="0" w:beforeAutospacing="0" w:after="120" w:afterAutospacing="0"/>
        <w:ind w:firstLine="720"/>
        <w:jc w:val="both"/>
        <w:rPr>
          <w:i/>
          <w:sz w:val="20"/>
          <w:szCs w:val="20"/>
        </w:rPr>
      </w:pPr>
      <w:r w:rsidRPr="002659B5">
        <w:rPr>
          <w:rFonts w:ascii="Arial" w:hAnsi="Arial" w:cs="Arial"/>
          <w:i/>
          <w:sz w:val="20"/>
          <w:szCs w:val="20"/>
        </w:rPr>
        <w:t>Hóa đơn điện tử mới thay thế hóa đơn điện tử đã lập có sai sót phải có dòng chữ “Thay thế cho hóa đơn M</w:t>
      </w:r>
      <w:r w:rsidR="002659B5" w:rsidRPr="002659B5">
        <w:rPr>
          <w:rFonts w:ascii="Arial" w:hAnsi="Arial" w:cs="Arial"/>
          <w:i/>
          <w:sz w:val="20"/>
          <w:szCs w:val="20"/>
        </w:rPr>
        <w:t>ẫ</w:t>
      </w:r>
      <w:r w:rsidRPr="002659B5">
        <w:rPr>
          <w:rFonts w:ascii="Arial" w:hAnsi="Arial" w:cs="Arial"/>
          <w:i/>
          <w:sz w:val="20"/>
          <w:szCs w:val="20"/>
        </w:rPr>
        <w:t>u số... ký hiệu... số... ngày... tháng... năm”.</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2659B5">
        <w:rPr>
          <w:rFonts w:ascii="Arial" w:hAnsi="Arial" w:cs="Arial"/>
          <w:i/>
          <w:sz w:val="20"/>
          <w:szCs w:val="20"/>
        </w:rPr>
        <w:t>Người bán ký số trên hóa đơn điện tử mới điều chỉnh hoặc thay thế cho hóa đơn điện tử đã lập có sai sót sau đó người bán gửi cho người mua (đối với trường hợp sử dụng hóa đơn điện tử không có mã của cơ quan thuế) hoặc gửi cơ quan thuế để cơ quan thuế cấp mã cho hóa đơn điện tử mới để gửi cho người mua (đối với trường hợp sử dụng hóa đơn điện tử có mã của cơ quan thuế).</w:t>
      </w:r>
    </w:p>
    <w:p w:rsidR="002659B5" w:rsidRPr="002659B5" w:rsidRDefault="002659B5"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w:t>
      </w:r>
      <w:r w:rsidR="009D6FF1">
        <w:rPr>
          <w:rFonts w:ascii="Arial" w:hAnsi="Arial" w:cs="Arial"/>
          <w:sz w:val="20"/>
          <w:szCs w:val="20"/>
        </w:rPr>
        <w:t> </w:t>
      </w:r>
      <w:r w:rsidRPr="00FC42AB">
        <w:rPr>
          <w:rFonts w:ascii="Arial" w:hAnsi="Arial" w:cs="Arial"/>
          <w:sz w:val="20"/>
          <w:szCs w:val="20"/>
        </w:rPr>
        <w:t>Căn cứ Khoản 3 Điều 7 Thông tư số 78/2021/TT-BTC ngày 17/9/2021 của Bộ Tài chính quy định về việc khai bổ sung hồ sơ khai thuế liên quan các hóa đơn điện tử điều chỉnh, thay thế:</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“3. Việc khai bổ sung hồ sơ khai thuế liên quan các hóa đơn điện tử điều chỉnh, thay thế (bao gồm cả hóa đơn điện tử bị hủy) thực hiện theo quy định của pháp luật quản lý thuế.”</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 Căn cứ Điều 16 Nghị định số 125/2020/NĐ-CP ngày 19/10/2020 của Chính phủ quy định xử phạt phạt hành vi khai sai dẫn đến thiếu số tiền thuế phải nộp hoặc tăng số tiền thuế được miễn, giảm, hoàn:</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“Điều 16. Xử phạt hành vi khai sai dẫn đến thiếu số tiền thuế phải nộp hoặc tăng số tiền thuế được miễn, giảm, hoàn</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1.</w:t>
      </w:r>
      <w:r w:rsidR="009D6FF1" w:rsidRPr="009D6FF1">
        <w:rPr>
          <w:rFonts w:ascii="Arial" w:hAnsi="Arial" w:cs="Arial"/>
          <w:i/>
          <w:sz w:val="20"/>
          <w:szCs w:val="20"/>
        </w:rPr>
        <w:t xml:space="preserve"> </w:t>
      </w:r>
      <w:r w:rsidRPr="009D6FF1">
        <w:rPr>
          <w:rFonts w:ascii="Arial" w:hAnsi="Arial" w:cs="Arial"/>
          <w:i/>
          <w:sz w:val="20"/>
          <w:szCs w:val="20"/>
        </w:rPr>
        <w:t>Phạt 20% số tiền thuế khai thiếu hoặc số tiền thuế đã được miễn, giảm, hoàn cao hơn so với quy định đối với một trong các hành vi sau đây:</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a)</w:t>
      </w:r>
      <w:r w:rsidR="009D6FF1" w:rsidRPr="009D6FF1">
        <w:rPr>
          <w:rFonts w:ascii="Arial" w:hAnsi="Arial" w:cs="Arial"/>
          <w:i/>
          <w:sz w:val="20"/>
          <w:szCs w:val="20"/>
        </w:rPr>
        <w:t xml:space="preserve"> </w:t>
      </w:r>
      <w:r w:rsidRPr="009D6FF1">
        <w:rPr>
          <w:rFonts w:ascii="Arial" w:hAnsi="Arial" w:cs="Arial"/>
          <w:i/>
          <w:sz w:val="20"/>
          <w:szCs w:val="20"/>
        </w:rPr>
        <w:t>Khai sai căn cứ tính thuế hoặc số tiền 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hóa đơn, chứng từ hợp pháp;</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b)</w:t>
      </w:r>
      <w:r w:rsidR="009D6FF1" w:rsidRPr="009D6FF1">
        <w:rPr>
          <w:rFonts w:ascii="Arial" w:hAnsi="Arial" w:cs="Arial"/>
          <w:i/>
          <w:sz w:val="20"/>
          <w:szCs w:val="20"/>
        </w:rPr>
        <w:t xml:space="preserve"> </w:t>
      </w:r>
      <w:r w:rsidRPr="009D6FF1">
        <w:rPr>
          <w:rFonts w:ascii="Arial" w:hAnsi="Arial" w:cs="Arial"/>
          <w:i/>
          <w:sz w:val="20"/>
          <w:szCs w:val="20"/>
        </w:rPr>
        <w:t>Khai sai làm giảm số tiền thuế phải nộp hoặc tăng số tiền thuế được hoàn, số tiền thuế được miễn, giảm không thuộc trường hợp quy định tại điểm a khoản này nhưng người nộp thuế đã tự giác kê khai bổ sung và nộp đủ số tiền thuế thiếu vào ngân sách nhà nước trước thời điểm cơ quan thuế kết thúc thời hạn thanh tra, kiểm tra thuế tại trụ sở người nộp thuế;</w:t>
      </w:r>
    </w:p>
    <w:p w:rsidR="00FC42AB" w:rsidRDefault="00FC42AB" w:rsidP="00FC42AB">
      <w:pPr>
        <w:pStyle w:val="NormalWeb"/>
        <w:spacing w:before="0" w:beforeAutospacing="0" w:after="120" w:afterAutospacing="0"/>
        <w:ind w:firstLine="720"/>
        <w:jc w:val="both"/>
        <w:rPr>
          <w:rFonts w:ascii="Arial" w:hAnsi="Arial" w:cs="Arial"/>
          <w:i/>
          <w:sz w:val="20"/>
          <w:szCs w:val="20"/>
        </w:rPr>
      </w:pPr>
      <w:r w:rsidRPr="009D6FF1">
        <w:rPr>
          <w:rFonts w:ascii="Arial" w:hAnsi="Arial" w:cs="Arial"/>
          <w:i/>
          <w:sz w:val="20"/>
          <w:szCs w:val="20"/>
        </w:rPr>
        <w:t>c) Khai sai làm giảm số tiền thuế phải nộp hoặc tăng số tiền thuế được hoàn, số thuế được miễn, giảm đã bị cơ quan có thẩm quyền lập biên bản thanh tra, kiểm tra thuế, biên bản vi phạm hành chính xác định là hành vi trốn thuế nhưng người nộp thuế vi phạm hành chính lần đầu về hành vi trốn thuế, đã khai bổ sung và nộp đủ số tiền thuế vào ngân sách nhà nước trước thời điểm cơ quan có thẩm quyền ra quyết định xử phạt và cơ quan thuế đã lập biên bản ghi nhận để xác định là hành vi khai sai dẫn đến thiếu thuế;</w:t>
      </w:r>
    </w:p>
    <w:p w:rsidR="009D6FF1" w:rsidRPr="009D6FF1" w:rsidRDefault="009D6FF1" w:rsidP="00FC42AB">
      <w:pPr>
        <w:pStyle w:val="NormalWeb"/>
        <w:spacing w:before="0" w:beforeAutospacing="0" w:after="120" w:afterAutospacing="0"/>
        <w:ind w:firstLine="720"/>
        <w:jc w:val="both"/>
        <w:rPr>
          <w:i/>
          <w:sz w:val="20"/>
          <w:szCs w:val="20"/>
        </w:rPr>
      </w:pPr>
      <w:r>
        <w:rPr>
          <w:rFonts w:ascii="Arial" w:hAnsi="Arial" w:cs="Arial"/>
          <w:i/>
          <w:sz w:val="20"/>
          <w:szCs w:val="20"/>
        </w:rPr>
        <w:t>...</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2. Biện pháp khắc phục hậu quả:</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a) Buộc nộp đủ số tiền thuế thiếu, số tiền thuế được hoàn, miễn, giảm cao hơn quy định và tiền chậm nộp tiền thuế vào ngân sách nhà nước đối với hành vi quy định tại khoản 1 Điều này.</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Trường hợp đã quá thời hiệu xử phạt thì người nộp thuế không bị xử phạt theo quy định tại khoản 1 Điều này nhưng người nộp thuế phải nộp đủ số tiền thuế thiếu, số tiền thuế được hoàn, miễn, giảm cao hơn quy định và tiền chậm nộp tiền thuế vào ngân sách nhà nước theo thời hạn quy định tại khoản 6 Điều 8 Nghị định này;</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b) Buộc điều chỉnh lại số lỗ, số thuế giá trị gia tăng đầu vào được khấu trừ chuyển kỳ sau (nếu có) đối với hành vi quy định tại khoản 1 Điều này.</w:t>
      </w:r>
    </w:p>
    <w:p w:rsidR="00FC42AB" w:rsidRPr="009D6FF1" w:rsidRDefault="00FC42AB" w:rsidP="00FC42AB">
      <w:pPr>
        <w:pStyle w:val="NormalWeb"/>
        <w:spacing w:before="0" w:beforeAutospacing="0" w:after="120" w:afterAutospacing="0"/>
        <w:ind w:firstLine="720"/>
        <w:jc w:val="both"/>
        <w:rPr>
          <w:i/>
          <w:sz w:val="20"/>
          <w:szCs w:val="20"/>
        </w:rPr>
      </w:pPr>
      <w:r w:rsidRPr="009D6FF1">
        <w:rPr>
          <w:rFonts w:ascii="Arial" w:hAnsi="Arial" w:cs="Arial"/>
          <w:i/>
          <w:sz w:val="20"/>
          <w:szCs w:val="20"/>
        </w:rPr>
        <w:t>3. Trường hợp người nộp thuế có hành vi khai sai theo quy định tại điểm a, b, d khoản 1 Điều này nhưng không dẫn đến thiếu số thuế phải nộp, tăng số thuế được miễn, giảm hoặc chưa được hoàn thuế thì không bị xử phạt theo quy định tại Điều này mà xử phạt theo quy định tại khoản 3 Điều 12 Nghị định này.”</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lastRenderedPageBreak/>
        <w:t>Căn cứ quy định trên, Trường hợp Công ty xuất hóa đơn thuế suất GTGT thấp hơn thuế suất quy định thì Công ty lập hóa đơn điều chỉnh hoặc thay thế hóa đơn đã lập theo quy định tại điểm b khoản 2 Đi</w:t>
      </w:r>
      <w:r w:rsidR="009D6FF1">
        <w:rPr>
          <w:rFonts w:ascii="Arial" w:hAnsi="Arial" w:cs="Arial"/>
          <w:sz w:val="20"/>
          <w:szCs w:val="20"/>
        </w:rPr>
        <w:t>ều 19 Nghị định số 123/2020/NĐ-</w:t>
      </w:r>
      <w:r w:rsidRPr="00FC42AB">
        <w:rPr>
          <w:rFonts w:ascii="Arial" w:hAnsi="Arial" w:cs="Arial"/>
          <w:sz w:val="20"/>
          <w:szCs w:val="20"/>
        </w:rPr>
        <w:t>CP ngày 19/10/2020 của Chính phủ và kê khai các hóa đơn điều chỉnh, thay thế theo quy định tại Khoản 3 Điều 7 Thông tư số 78/2021/TT-BTC ngày 17/9/2021 của Bộ Tài chính.</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Nếu Công ty xuất hóa đơn GTGT sai thuế suất nhưng không điều chỉnh hoặc thay thế dẫn đến việc khai sai thuế thì sẽ bị truy thu thuế và xử phạt theo quy định tại Điều 16 Nghị định 125/2020/NĐ-CP ngày 19/10/2020 của Chính phủ.</w:t>
      </w:r>
    </w:p>
    <w:p w:rsidR="00FC42AB" w:rsidRPr="00FC42AB" w:rsidRDefault="00FC42AB" w:rsidP="00FC42AB">
      <w:pPr>
        <w:pStyle w:val="NormalWeb"/>
        <w:spacing w:before="0" w:beforeAutospacing="0" w:after="120" w:afterAutospacing="0"/>
        <w:ind w:firstLine="720"/>
        <w:jc w:val="both"/>
        <w:rPr>
          <w:sz w:val="20"/>
          <w:szCs w:val="20"/>
        </w:rPr>
      </w:pPr>
      <w:r w:rsidRPr="00FC42AB">
        <w:rPr>
          <w:rFonts w:ascii="Arial" w:hAnsi="Arial" w:cs="Arial"/>
          <w:sz w:val="20"/>
          <w:szCs w:val="20"/>
        </w:rPr>
        <w:t>Đề nghị Công ty căn cứ vào tình hình thực tế của đơn vị, đối chiếu với các quy định tại văn bản pháp luật nêu trên để thực hiện đúng quy định.</w:t>
      </w:r>
    </w:p>
    <w:p w:rsidR="00FC42AB" w:rsidRDefault="00FC42AB" w:rsidP="00FC42AB">
      <w:pPr>
        <w:pStyle w:val="NormalWeb"/>
        <w:spacing w:before="0" w:beforeAutospacing="0" w:after="120" w:afterAutospacing="0"/>
        <w:ind w:firstLine="720"/>
        <w:jc w:val="both"/>
        <w:rPr>
          <w:rFonts w:ascii="Arial" w:hAnsi="Arial" w:cs="Arial"/>
          <w:sz w:val="20"/>
          <w:szCs w:val="20"/>
        </w:rPr>
      </w:pPr>
      <w:r w:rsidRPr="00FC42AB">
        <w:rPr>
          <w:rFonts w:ascii="Arial" w:hAnsi="Arial" w:cs="Arial"/>
          <w:sz w:val="20"/>
          <w:szCs w:val="20"/>
        </w:rPr>
        <w:t>Cục Thuế trả lời cho Công ty được biết và thực hiện theo đúng quy định tại văn bản quy phạm pháp luật đã được trích dẫn tại văn bản này./. </w:t>
      </w:r>
    </w:p>
    <w:tbl>
      <w:tblPr>
        <w:tblW w:w="5000" w:type="pct"/>
        <w:tblCellMar>
          <w:left w:w="0" w:type="dxa"/>
          <w:right w:w="0" w:type="dxa"/>
        </w:tblCellMar>
        <w:tblLook w:val="04A0" w:firstRow="1" w:lastRow="0" w:firstColumn="1" w:lastColumn="0" w:noHBand="0" w:noVBand="1"/>
      </w:tblPr>
      <w:tblGrid>
        <w:gridCol w:w="4510"/>
        <w:gridCol w:w="4510"/>
      </w:tblGrid>
      <w:tr w:rsidR="00FC42AB" w:rsidRPr="00076D3D" w:rsidTr="00AA40CA">
        <w:tc>
          <w:tcPr>
            <w:tcW w:w="2500" w:type="pct"/>
            <w:shd w:val="clear" w:color="auto" w:fill="auto"/>
            <w:tcMar>
              <w:top w:w="0" w:type="dxa"/>
              <w:left w:w="108" w:type="dxa"/>
              <w:bottom w:w="0" w:type="dxa"/>
              <w:right w:w="108" w:type="dxa"/>
            </w:tcMar>
          </w:tcPr>
          <w:p w:rsidR="00FC42AB" w:rsidRDefault="00FC42AB" w:rsidP="00FC42AB">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rsidR="00FC42AB" w:rsidRDefault="00FC42AB" w:rsidP="00FC42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BL</w:t>
            </w:r>
            <w:r w:rsidRPr="00CD1332">
              <w:rPr>
                <w:rFonts w:ascii="Arial" w:hAnsi="Arial" w:cs="Arial"/>
                <w:color w:val="000000"/>
                <w:sz w:val="20"/>
                <w:szCs w:val="20"/>
              </w:rPr>
              <w:t>Đ</w:t>
            </w:r>
            <w:r>
              <w:rPr>
                <w:rFonts w:ascii="Arial" w:hAnsi="Arial" w:cs="Arial"/>
                <w:color w:val="000000"/>
                <w:sz w:val="20"/>
                <w:szCs w:val="20"/>
              </w:rPr>
              <w:t xml:space="preserve"> C</w:t>
            </w:r>
            <w:r w:rsidRPr="00CD1332">
              <w:rPr>
                <w:rFonts w:ascii="Arial" w:hAnsi="Arial" w:cs="Arial"/>
                <w:color w:val="000000"/>
                <w:sz w:val="20"/>
                <w:szCs w:val="20"/>
              </w:rPr>
              <w:t>ục</w:t>
            </w:r>
            <w:r>
              <w:rPr>
                <w:rFonts w:ascii="Arial" w:hAnsi="Arial" w:cs="Arial"/>
                <w:color w:val="000000"/>
                <w:sz w:val="20"/>
                <w:szCs w:val="20"/>
              </w:rPr>
              <w:t xml:space="preserve"> Thu</w:t>
            </w:r>
            <w:r w:rsidRPr="00CD1332">
              <w:rPr>
                <w:rFonts w:ascii="Arial" w:hAnsi="Arial" w:cs="Arial"/>
                <w:color w:val="000000"/>
                <w:sz w:val="20"/>
                <w:szCs w:val="20"/>
              </w:rPr>
              <w:t>ế</w:t>
            </w:r>
            <w:r>
              <w:rPr>
                <w:rFonts w:ascii="Arial" w:hAnsi="Arial" w:cs="Arial"/>
                <w:color w:val="000000"/>
                <w:sz w:val="20"/>
                <w:szCs w:val="20"/>
              </w:rPr>
              <w:t>;</w:t>
            </w:r>
          </w:p>
          <w:p w:rsidR="00FC42AB" w:rsidRDefault="00FC42AB" w:rsidP="00FC42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Ph</w:t>
            </w:r>
            <w:r w:rsidRPr="00CD1332">
              <w:rPr>
                <w:rFonts w:ascii="Arial" w:hAnsi="Arial" w:cs="Arial"/>
                <w:color w:val="000000"/>
                <w:sz w:val="20"/>
                <w:szCs w:val="20"/>
              </w:rPr>
              <w:t>òng</w:t>
            </w:r>
            <w:r>
              <w:rPr>
                <w:rFonts w:ascii="Arial" w:hAnsi="Arial" w:cs="Arial"/>
                <w:color w:val="000000"/>
                <w:sz w:val="20"/>
                <w:szCs w:val="20"/>
              </w:rPr>
              <w:t xml:space="preserve"> NV</w:t>
            </w:r>
            <w:r w:rsidRPr="00CD1332">
              <w:rPr>
                <w:rFonts w:ascii="Arial" w:hAnsi="Arial" w:cs="Arial"/>
                <w:color w:val="000000"/>
                <w:sz w:val="20"/>
                <w:szCs w:val="20"/>
              </w:rPr>
              <w:t>D</w:t>
            </w:r>
            <w:r>
              <w:rPr>
                <w:rFonts w:ascii="Arial" w:hAnsi="Arial" w:cs="Arial"/>
                <w:color w:val="000000"/>
                <w:sz w:val="20"/>
                <w:szCs w:val="20"/>
              </w:rPr>
              <w:t>TPC, TTKT</w:t>
            </w:r>
            <w:r w:rsidR="009D6FF1">
              <w:rPr>
                <w:rFonts w:ascii="Arial" w:hAnsi="Arial" w:cs="Arial"/>
                <w:color w:val="000000"/>
                <w:sz w:val="20"/>
                <w:szCs w:val="20"/>
              </w:rPr>
              <w:t>2</w:t>
            </w:r>
            <w:r>
              <w:rPr>
                <w:rFonts w:ascii="Arial" w:hAnsi="Arial" w:cs="Arial"/>
                <w:color w:val="000000"/>
                <w:sz w:val="20"/>
                <w:szCs w:val="20"/>
              </w:rPr>
              <w:t>;</w:t>
            </w:r>
          </w:p>
          <w:p w:rsidR="00FC42AB" w:rsidRPr="00B8509A" w:rsidRDefault="00FC42AB" w:rsidP="00FC42A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Trang </w:t>
            </w:r>
            <w:r w:rsidRPr="00CD1332">
              <w:rPr>
                <w:rFonts w:ascii="Arial" w:hAnsi="Arial" w:cs="Arial"/>
                <w:color w:val="000000"/>
                <w:sz w:val="20"/>
                <w:szCs w:val="20"/>
              </w:rPr>
              <w:t>we</w:t>
            </w:r>
            <w:r>
              <w:rPr>
                <w:rFonts w:ascii="Arial" w:hAnsi="Arial" w:cs="Arial"/>
                <w:color w:val="000000"/>
                <w:sz w:val="20"/>
                <w:szCs w:val="20"/>
              </w:rPr>
              <w:t>b C</w:t>
            </w:r>
            <w:r w:rsidRPr="00CD1332">
              <w:rPr>
                <w:rFonts w:ascii="Arial" w:hAnsi="Arial" w:cs="Arial"/>
                <w:color w:val="000000"/>
                <w:sz w:val="20"/>
                <w:szCs w:val="20"/>
              </w:rPr>
              <w:t>ục</w:t>
            </w:r>
            <w:r>
              <w:rPr>
                <w:rFonts w:ascii="Arial" w:hAnsi="Arial" w:cs="Arial"/>
                <w:color w:val="000000"/>
                <w:sz w:val="20"/>
                <w:szCs w:val="20"/>
              </w:rPr>
              <w:t xml:space="preserve"> Thu</w:t>
            </w:r>
            <w:r w:rsidRPr="00CD1332">
              <w:rPr>
                <w:rFonts w:ascii="Arial" w:hAnsi="Arial" w:cs="Arial"/>
                <w:color w:val="000000"/>
                <w:sz w:val="20"/>
                <w:szCs w:val="20"/>
              </w:rPr>
              <w:t>ế</w:t>
            </w:r>
            <w:r>
              <w:rPr>
                <w:rFonts w:ascii="Arial" w:hAnsi="Arial" w:cs="Arial"/>
                <w:color w:val="000000"/>
                <w:sz w:val="20"/>
                <w:szCs w:val="20"/>
              </w:rPr>
              <w:t>;</w:t>
            </w:r>
          </w:p>
          <w:p w:rsidR="00FC42AB" w:rsidRPr="005765D8" w:rsidRDefault="00FC42AB" w:rsidP="009D6FF1">
            <w:pPr>
              <w:pStyle w:val="NormalWeb"/>
              <w:spacing w:before="0" w:beforeAutospacing="0" w:after="0" w:afterAutospacing="0"/>
              <w:rPr>
                <w:rFonts w:ascii="Arial" w:hAnsi="Arial" w:cs="Arial"/>
                <w:sz w:val="20"/>
                <w:szCs w:val="20"/>
              </w:rPr>
            </w:pPr>
            <w:r>
              <w:rPr>
                <w:rFonts w:ascii="Arial" w:hAnsi="Arial" w:cs="Arial"/>
                <w:color w:val="000000"/>
                <w:sz w:val="20"/>
                <w:szCs w:val="20"/>
                <w:lang w:val="vi-VN"/>
              </w:rPr>
              <w:t>- Lưu: VT, TTHT</w:t>
            </w:r>
            <w:r>
              <w:rPr>
                <w:rFonts w:ascii="Arial" w:hAnsi="Arial" w:cs="Arial"/>
                <w:color w:val="000000"/>
                <w:sz w:val="20"/>
                <w:szCs w:val="20"/>
              </w:rPr>
              <w:t xml:space="preserve">, </w:t>
            </w:r>
            <w:r w:rsidR="009D6FF1">
              <w:rPr>
                <w:rFonts w:ascii="Arial" w:hAnsi="Arial" w:cs="Arial"/>
                <w:color w:val="000000"/>
                <w:sz w:val="20"/>
                <w:szCs w:val="20"/>
              </w:rPr>
              <w:t>Di (2b)</w:t>
            </w:r>
            <w:r>
              <w:rPr>
                <w:rFonts w:ascii="Arial" w:hAnsi="Arial" w:cs="Arial"/>
                <w:color w:val="000000"/>
                <w:sz w:val="20"/>
                <w:szCs w:val="20"/>
              </w:rPr>
              <w:t>.</w:t>
            </w:r>
          </w:p>
        </w:tc>
        <w:tc>
          <w:tcPr>
            <w:tcW w:w="2500" w:type="pct"/>
            <w:shd w:val="clear" w:color="auto" w:fill="auto"/>
            <w:tcMar>
              <w:top w:w="0" w:type="dxa"/>
              <w:left w:w="108" w:type="dxa"/>
              <w:bottom w:w="0" w:type="dxa"/>
              <w:right w:w="108" w:type="dxa"/>
            </w:tcMar>
          </w:tcPr>
          <w:p w:rsidR="00FC42AB" w:rsidRDefault="00FC42AB" w:rsidP="00FC42AB">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FC42AB" w:rsidRPr="001B6680" w:rsidRDefault="00FC42AB" w:rsidP="00FC42AB">
            <w:pPr>
              <w:jc w:val="center"/>
              <w:rPr>
                <w:rFonts w:ascii="Arial" w:hAnsi="Arial" w:cs="Arial"/>
                <w:sz w:val="20"/>
                <w:szCs w:val="20"/>
                <w:lang w:val="en-US"/>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Pr>
                <w:rFonts w:ascii="Arial" w:hAnsi="Arial" w:cs="Arial"/>
                <w:b/>
                <w:sz w:val="20"/>
                <w:szCs w:val="20"/>
                <w:lang w:val="en-US"/>
              </w:rPr>
              <w:t>Tr</w:t>
            </w:r>
            <w:r w:rsidRPr="00CD1332">
              <w:rPr>
                <w:rFonts w:ascii="Arial" w:hAnsi="Arial" w:cs="Arial"/>
                <w:b/>
                <w:sz w:val="20"/>
                <w:szCs w:val="20"/>
                <w:lang w:val="en-US"/>
              </w:rPr>
              <w:t>ần</w:t>
            </w:r>
            <w:r>
              <w:rPr>
                <w:rFonts w:ascii="Arial" w:hAnsi="Arial" w:cs="Arial"/>
                <w:b/>
                <w:sz w:val="20"/>
                <w:szCs w:val="20"/>
                <w:lang w:val="en-US"/>
              </w:rPr>
              <w:t xml:space="preserve"> Th</w:t>
            </w:r>
            <w:r w:rsidRPr="00CD1332">
              <w:rPr>
                <w:rFonts w:ascii="Arial" w:hAnsi="Arial" w:cs="Arial"/>
                <w:b/>
                <w:sz w:val="20"/>
                <w:szCs w:val="20"/>
                <w:lang w:val="en-US"/>
              </w:rPr>
              <w:t>ị</w:t>
            </w:r>
            <w:r>
              <w:rPr>
                <w:rFonts w:ascii="Arial" w:hAnsi="Arial" w:cs="Arial"/>
                <w:b/>
                <w:sz w:val="20"/>
                <w:szCs w:val="20"/>
                <w:lang w:val="en-US"/>
              </w:rPr>
              <w:t xml:space="preserve"> Thu V</w:t>
            </w:r>
            <w:r w:rsidRPr="00CD1332">
              <w:rPr>
                <w:rFonts w:ascii="Arial" w:hAnsi="Arial" w:cs="Arial"/>
                <w:b/>
                <w:sz w:val="20"/>
                <w:szCs w:val="20"/>
                <w:lang w:val="en-US"/>
              </w:rPr>
              <w:t>â</w:t>
            </w:r>
            <w:r>
              <w:rPr>
                <w:rFonts w:ascii="Arial" w:hAnsi="Arial" w:cs="Arial"/>
                <w:b/>
                <w:sz w:val="20"/>
                <w:szCs w:val="20"/>
                <w:lang w:val="en-US"/>
              </w:rPr>
              <w:t>n</w:t>
            </w:r>
          </w:p>
        </w:tc>
      </w:tr>
      <w:bookmarkEnd w:id="0"/>
    </w:tbl>
    <w:p w:rsidR="00804959" w:rsidRPr="00FC42AB" w:rsidRDefault="00804959" w:rsidP="00FC42AB">
      <w:pPr>
        <w:pStyle w:val="NormalWeb"/>
        <w:spacing w:before="0" w:beforeAutospacing="0" w:after="0" w:afterAutospacing="0"/>
        <w:jc w:val="both"/>
        <w:rPr>
          <w:sz w:val="20"/>
          <w:szCs w:val="20"/>
        </w:rPr>
      </w:pPr>
    </w:p>
    <w:sectPr w:rsidR="00804959" w:rsidRPr="00FC42AB" w:rsidSect="00FC42AB">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51" w:rsidRDefault="000A2A51">
      <w:r>
        <w:separator/>
      </w:r>
    </w:p>
  </w:endnote>
  <w:endnote w:type="continuationSeparator" w:id="0">
    <w:p w:rsidR="000A2A51" w:rsidRDefault="000A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51" w:rsidRDefault="000A2A51"/>
  </w:footnote>
  <w:footnote w:type="continuationSeparator" w:id="0">
    <w:p w:rsidR="000A2A51" w:rsidRDefault="000A2A5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3918"/>
    <w:multiLevelType w:val="multilevel"/>
    <w:tmpl w:val="25F69C0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F17D2"/>
    <w:multiLevelType w:val="multilevel"/>
    <w:tmpl w:val="200CA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065C38"/>
    <w:multiLevelType w:val="multilevel"/>
    <w:tmpl w:val="2AE28C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D97E69"/>
    <w:multiLevelType w:val="multilevel"/>
    <w:tmpl w:val="9D4043C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E36EFB"/>
    <w:multiLevelType w:val="multilevel"/>
    <w:tmpl w:val="C0CE30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59"/>
    <w:rsid w:val="000A2A51"/>
    <w:rsid w:val="002659B5"/>
    <w:rsid w:val="00804959"/>
    <w:rsid w:val="009D6FF1"/>
    <w:rsid w:val="00FC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D605"/>
  <w15:docId w15:val="{9468E506-51EE-4666-975F-C1B730A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i/>
      <w:i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unhideWhenUsed/>
    <w:rsid w:val="00FC42AB"/>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apple-tab-span">
    <w:name w:val="apple-tab-span"/>
    <w:basedOn w:val="DefaultParagraphFont"/>
    <w:rsid w:val="00FC42AB"/>
  </w:style>
  <w:style w:type="table" w:styleId="TableGrid">
    <w:name w:val="Table Grid"/>
    <w:basedOn w:val="TableNormal"/>
    <w:uiPriority w:val="39"/>
    <w:rsid w:val="00FC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CỤC THUẾ LONG AN                CỘN G HÒA XÃ HỘI CHỦ NGHĨA VIỆT NAM</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THUẾ LONG AN                CỘN G HÒA XÃ HỘI CHỦ NGHĨA VIỆT NAM</dc:title>
  <dc:subject/>
  <dc:creator>Hoang</dc:creator>
  <cp:keywords/>
  <cp:lastModifiedBy>Windows 10</cp:lastModifiedBy>
  <cp:revision>3</cp:revision>
  <dcterms:created xsi:type="dcterms:W3CDTF">2024-05-01T07:07:00Z</dcterms:created>
  <dcterms:modified xsi:type="dcterms:W3CDTF">2024-05-01T07:21:00Z</dcterms:modified>
</cp:coreProperties>
</file>