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97" w:rsidRPr="00034B97" w:rsidRDefault="00034B97" w:rsidP="00034B97">
      <w:pPr>
        <w:pStyle w:val="NormalWeb"/>
        <w:spacing w:before="0" w:beforeAutospacing="0" w:after="0" w:afterAutospacing="0" w:line="234" w:lineRule="atLeast"/>
        <w:jc w:val="center"/>
        <w:rPr>
          <w:rFonts w:ascii="Arial" w:hAnsi="Arial" w:cs="Arial"/>
          <w:color w:val="000000"/>
          <w:sz w:val="22"/>
          <w:szCs w:val="22"/>
        </w:rPr>
      </w:pPr>
      <w:bookmarkStart w:id="0" w:name="chuong_pl_5"/>
      <w:r w:rsidRPr="00034B97">
        <w:rPr>
          <w:rStyle w:val="Strong"/>
          <w:rFonts w:ascii="Arial" w:hAnsi="Arial" w:cs="Arial"/>
          <w:color w:val="000000"/>
          <w:sz w:val="22"/>
          <w:szCs w:val="22"/>
        </w:rPr>
        <w:t>PHỤ LỤC V</w:t>
      </w:r>
      <w:bookmarkEnd w:id="0"/>
    </w:p>
    <w:p w:rsidR="00034B97" w:rsidRPr="00034B97" w:rsidRDefault="00034B97" w:rsidP="00034B97">
      <w:pPr>
        <w:pStyle w:val="NormalWeb"/>
        <w:spacing w:before="0" w:beforeAutospacing="0" w:after="0" w:afterAutospacing="0" w:line="234" w:lineRule="atLeast"/>
        <w:jc w:val="center"/>
        <w:rPr>
          <w:rFonts w:ascii="Arial" w:hAnsi="Arial" w:cs="Arial"/>
          <w:color w:val="000000"/>
          <w:sz w:val="22"/>
          <w:szCs w:val="22"/>
        </w:rPr>
      </w:pPr>
      <w:bookmarkStart w:id="1" w:name="chuong_pl_5_name"/>
      <w:r w:rsidRPr="00034B97">
        <w:rPr>
          <w:rStyle w:val="Strong"/>
          <w:rFonts w:ascii="Arial" w:hAnsi="Arial" w:cs="Arial"/>
          <w:b w:val="0"/>
          <w:bCs w:val="0"/>
          <w:color w:val="000000"/>
          <w:sz w:val="22"/>
          <w:szCs w:val="22"/>
        </w:rPr>
        <w:t>DANH MỤC DỰ ÁN, CÔNG TRÌNH, PHƯƠNG TIỆN GIAO THÔNG CƠ GIỚI THUỘC DIỆN THẨM DUYỆT THIẾT KẾ VỀ PHÒNG CHÁY VÀ CHỮA CHÁY</w:t>
      </w:r>
      <w:bookmarkEnd w:id="1"/>
      <w:r w:rsidRPr="00034B97">
        <w:rPr>
          <w:rFonts w:ascii="Arial" w:hAnsi="Arial" w:cs="Arial"/>
          <w:b/>
          <w:bCs/>
          <w:color w:val="000000"/>
          <w:sz w:val="22"/>
          <w:szCs w:val="22"/>
        </w:rPr>
        <w:br/>
      </w:r>
      <w:r w:rsidRPr="00034B97">
        <w:rPr>
          <w:rFonts w:ascii="Arial" w:hAnsi="Arial" w:cs="Arial"/>
          <w:i/>
          <w:iCs/>
          <w:color w:val="000000"/>
          <w:sz w:val="22"/>
          <w:szCs w:val="22"/>
        </w:rPr>
        <w:t>(Kèm theo Nghị định số 50/2024/NĐ-CP ngày 10 tháng 5 năm 2024 của Chính phủ)</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 Nhà làm việc của cơ quan nhà nước cao từ 7 tầng trở lên hoặc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bookmarkStart w:id="2" w:name="_GoBack"/>
      <w:bookmarkEnd w:id="2"/>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2. Nhà làm việc của doanh nghiệp, tổ chức chính trị, xã hội, nhà chung cư, nhà tập thể, nhà ở ký túc xá, nhà hỗn hợp, khách sạn, nhà khách, nhà nghỉ cao từ 7 tầng trở lên hoặc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3. Nhà của cơ sở bưu điện, cơ sở viễn thông, trung tâm lưu trữ, quản lý dữ liệu, cơ sở phát thanh, truyền hình cao từ 5 tầng trở lên hoặc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4. Nhà trẻ, trường mẫu giáo, mầm non cao từ 03 tầng trở lên hoặc có khối tích từ 3.000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 trường tiểu học, trung học cơ sở, trung học phổ thông, trường phổ thông có nhiều cấp học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 nhà, công trình của học viện, trường đại học, cao đẳng, trường trung cấp chuyên nghiệp, trường dạy nghề, cơ sở giáo dục thường xuyên cao từ 5 tầng trở lên hoặc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5. Bệnh viện cao từ 03 tầng trở lên hoặc có khối tích 3.000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 phòng khám đa khoa, khám chuyên khoa, nhà điều dưỡng, phục hồi chức năng, chỉnh hình, nhà dưỡng lão, cơ sở phòng chống dịch bệnh, trung tâm y tế cao từ 5 tầng trở lên hoặc có khối tích từ 3.000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6. Nhà hát, rạp chiếu phim, rạp xiếc có từ 300 chỗ ngồi trở lên; trung tâm hội nghị, tổ chức sự kiện, nhà văn hóa cao từ 5 tầng trở lên hoặc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 cơ sở kinh doanh dịch vụ karaoke, vũ trường cao từ 3 tầng trở lên hoặc có khối tích từ 1.500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7. Chợ, trung tâm thương mại, siêu thị, nhà hàng có khối tích từ 3.000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8. Bảo tàng, thư viện, triển lãm, nhà trưng bày, nhà lưu trữ, nhà sách, nhà hội chợ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9. Sân vận động có sức chứa từ 5.000 chỗ ngồi trở lên; nhà thi đấu thể thao, cung thể thao trong nhà, trung tâm thể dục, thể thao có sức chứa từ 5.000 chỗ ngồi trở lên hoặc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10. Cảng hàng không, công trình tàu điện ngầm; bến cảng biển; cảng cạn; cảng thủy nội địa; nhà chờ bến xe ô tô, nhà ga đường sắt, nhà chờ cáp treo vận chuyển người, trạm dừng nghỉ có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11. Gara để xe ô tô trong nhà có khối tích từ 3.000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12. Hầm đường bộ, hầm đường sắt có chiều dài từ 1.000 m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13. Cơ sở hạt nhân; cơ sở sản xuất, kinh doanh, bảo quản, vật liệu nổ công nghiệp và tiền chất thuốc nổ; kho vật liệu nổ công nghiệp, tiền chất thuốc nổ; cảng xuất, nhập vật liệu nổ công nghiệp, tiền chất thuốc nổ.</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14.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trạm cấp xăng dầu nội bộ có từ 01 cột bơm trở lên; cơ sở kinh doanh khí đốt có tổng lượng khí tồn chứa từ 1.000 kg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lastRenderedPageBreak/>
        <w:t>15. Công trình sản xuất công nghiệp có hạng nguy hiểm cháy, nổ A, B có tổng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 hạng nguy hiểm cháy, nổ C có tổng khối tích từ 10.000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 hạng nguy hiểm cháy, nổ D, E có tổng khối tích từ 15.000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16. Nhà máy điện; trạm biến áp có điện áp từ 110 kV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17. Hầm có hoạt động sản xuất, bảo quản, sử dụng chất cháy, nổ và có tổng khối tích từ 1.000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 nhà kho hàng hóa, vật tư cháy được có tổng khối tích từ 5.000 m</w:t>
      </w:r>
      <w:r w:rsidRPr="00034B97">
        <w:rPr>
          <w:rFonts w:ascii="Arial" w:hAnsi="Arial" w:cs="Arial"/>
          <w:color w:val="000000"/>
          <w:sz w:val="22"/>
          <w:szCs w:val="22"/>
          <w:vertAlign w:val="superscript"/>
        </w:rPr>
        <w:t>3</w:t>
      </w:r>
      <w:r w:rsidRPr="00034B97">
        <w:rPr>
          <w:rFonts w:ascii="Arial" w:hAnsi="Arial" w:cs="Arial"/>
          <w:color w:val="000000"/>
          <w:sz w:val="22"/>
          <w:szCs w:val="22"/>
        </w:rPr>
        <w:t>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18. Công trình hạ tầng kỹ thuật có liên quan đến phòng cháy và chữa cháy của đô thị, khu kinh tế, khu công nghiệp, cụm công nghiệp, khu chế xuất, khu công nghệ cao thuộc thẩm quyền phê duyệt của cấp huyện trở lên.</w:t>
      </w:r>
    </w:p>
    <w:p w:rsidR="00034B97" w:rsidRPr="00034B97" w:rsidRDefault="00034B97" w:rsidP="00034B97">
      <w:pPr>
        <w:pStyle w:val="NormalWeb"/>
        <w:spacing w:before="120" w:beforeAutospacing="0" w:after="0" w:afterAutospacing="0" w:line="234" w:lineRule="atLeast"/>
        <w:rPr>
          <w:rFonts w:ascii="Arial" w:hAnsi="Arial" w:cs="Arial"/>
          <w:color w:val="000000"/>
          <w:sz w:val="22"/>
          <w:szCs w:val="22"/>
        </w:rPr>
      </w:pPr>
      <w:r w:rsidRPr="00034B97">
        <w:rPr>
          <w:rFonts w:ascii="Arial" w:hAnsi="Arial" w:cs="Arial"/>
          <w:color w:val="000000"/>
          <w:sz w:val="22"/>
          <w:szCs w:val="22"/>
        </w:rPr>
        <w:t>19. Phương tiện giao thông cơ giới có yêu cầu đặc biệt về bảo đảm an toàn phòng cháy và chữa cháy: phương tiện giao thông đường sắt, phương tiện đường thủy có chiều dài từ 20 m trở lên vận chuyển hành khách, vận chuyển xăng, dầu, chất lỏng dễ cháy, khí cháy, vật liệu nổ, hóa chất có nguy hiểm về cháy, nổ.</w:t>
      </w:r>
    </w:p>
    <w:p w:rsidR="00C4715C" w:rsidRPr="00034B97" w:rsidRDefault="00C4715C"/>
    <w:sectPr w:rsidR="00C4715C" w:rsidRPr="00034B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E4"/>
    <w:rsid w:val="00034B97"/>
    <w:rsid w:val="002A36E4"/>
    <w:rsid w:val="00C4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4B62-1168-4EDF-AF76-168A127A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B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2024-05-21T08:05:00Z</dcterms:created>
  <dcterms:modified xsi:type="dcterms:W3CDTF">2024-05-21T08:05:00Z</dcterms:modified>
</cp:coreProperties>
</file>