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6F" w:rsidRPr="006F3BCB" w:rsidRDefault="008A5F6F" w:rsidP="008A5F6F">
      <w:pPr>
        <w:jc w:val="right"/>
        <w:rPr>
          <w:b/>
          <w:szCs w:val="24"/>
          <w:lang w:val="nl-NL"/>
        </w:rPr>
      </w:pPr>
      <w:r w:rsidRPr="006F3BCB">
        <w:rPr>
          <w:b/>
          <w:szCs w:val="24"/>
          <w:lang w:val="nl-NL"/>
        </w:rPr>
        <w:t>Mẫu số 01A (Webform trên Hệ thống)</w:t>
      </w:r>
    </w:p>
    <w:p w:rsidR="008A5F6F" w:rsidRPr="006F3BCB" w:rsidRDefault="008A5F6F" w:rsidP="008A5F6F">
      <w:pPr>
        <w:spacing w:before="120" w:after="120"/>
        <w:ind w:left="284"/>
        <w:jc w:val="right"/>
        <w:rPr>
          <w:b/>
          <w:szCs w:val="24"/>
          <w:lang w:val="nl-NL"/>
        </w:rPr>
      </w:pPr>
    </w:p>
    <w:p w:rsidR="008A5F6F" w:rsidRPr="006F3BCB" w:rsidRDefault="008A5F6F" w:rsidP="008A5F6F">
      <w:pPr>
        <w:spacing w:before="120" w:after="120"/>
        <w:ind w:left="284"/>
        <w:jc w:val="center"/>
        <w:rPr>
          <w:b/>
          <w:bCs/>
          <w:szCs w:val="24"/>
          <w:lang w:val="nl-NL"/>
        </w:rPr>
      </w:pPr>
      <w:r w:rsidRPr="006F3BCB">
        <w:rPr>
          <w:b/>
          <w:bCs/>
          <w:szCs w:val="24"/>
          <w:lang w:val="nl-NL"/>
        </w:rPr>
        <w:t>BẢNG KÊ HẠNG MỤC CÔNG VIỆC</w:t>
      </w:r>
      <w:r w:rsidRPr="006F3BCB">
        <w:rPr>
          <w:b/>
          <w:bCs/>
          <w:szCs w:val="24"/>
          <w:vertAlign w:val="superscript"/>
          <w:lang w:val="nl-NL"/>
        </w:rPr>
        <w:t>(1)</w:t>
      </w:r>
      <w:r w:rsidRPr="006F3BCB">
        <w:rPr>
          <w:b/>
          <w:bCs/>
          <w:szCs w:val="24"/>
          <w:lang w:val="nl-NL"/>
        </w:rPr>
        <w:t xml:space="preserve"> </w:t>
      </w:r>
    </w:p>
    <w:p w:rsidR="008A5F6F" w:rsidRPr="006F3BCB" w:rsidRDefault="008A5F6F" w:rsidP="008A5F6F">
      <w:pPr>
        <w:spacing w:before="120" w:after="120"/>
        <w:ind w:left="284"/>
        <w:jc w:val="center"/>
        <w:rPr>
          <w:b/>
          <w:bCs/>
          <w:szCs w:val="24"/>
          <w:lang w:val="nl-NL"/>
        </w:rPr>
      </w:pPr>
      <w:r w:rsidRPr="006F3BCB">
        <w:rPr>
          <w:b/>
          <w:bCs/>
          <w:szCs w:val="24"/>
          <w:lang w:val="nl-NL"/>
        </w:rPr>
        <w:t>(Áp dụng cho loại hợp đồng trọn gói)</w:t>
      </w:r>
    </w:p>
    <w:p w:rsidR="008A5F6F" w:rsidRPr="006F3BCB" w:rsidRDefault="008A5F6F" w:rsidP="008A5F6F">
      <w:pPr>
        <w:spacing w:before="120" w:after="120"/>
        <w:ind w:left="284"/>
        <w:jc w:val="center"/>
        <w:rPr>
          <w:b/>
          <w:bCs/>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8A5F6F" w:rsidRPr="006F3BCB" w:rsidTr="00C93BD2">
        <w:tc>
          <w:tcPr>
            <w:tcW w:w="986" w:type="dxa"/>
            <w:shd w:val="clear" w:color="auto" w:fill="auto"/>
          </w:tcPr>
          <w:p w:rsidR="008A5F6F" w:rsidRPr="006F3BCB" w:rsidRDefault="008A5F6F" w:rsidP="00C93BD2">
            <w:pPr>
              <w:spacing w:before="120" w:after="120"/>
              <w:jc w:val="center"/>
              <w:rPr>
                <w:b/>
                <w:bCs/>
                <w:szCs w:val="24"/>
                <w:lang w:val="nl-NL"/>
              </w:rPr>
            </w:pPr>
            <w:r w:rsidRPr="006F3BCB">
              <w:rPr>
                <w:b/>
                <w:bCs/>
                <w:szCs w:val="24"/>
                <w:lang w:val="nl-NL"/>
              </w:rPr>
              <w:t>STT</w:t>
            </w:r>
          </w:p>
        </w:tc>
        <w:tc>
          <w:tcPr>
            <w:tcW w:w="3270" w:type="dxa"/>
            <w:shd w:val="clear" w:color="auto" w:fill="auto"/>
          </w:tcPr>
          <w:p w:rsidR="008A5F6F" w:rsidRPr="006F3BCB" w:rsidRDefault="008A5F6F" w:rsidP="00C93BD2">
            <w:pPr>
              <w:spacing w:before="120" w:after="120"/>
              <w:jc w:val="center"/>
              <w:rPr>
                <w:b/>
                <w:bCs/>
                <w:szCs w:val="24"/>
                <w:vertAlign w:val="superscript"/>
              </w:rPr>
            </w:pPr>
            <w:r w:rsidRPr="006F3BCB">
              <w:rPr>
                <w:b/>
                <w:bCs/>
                <w:szCs w:val="24"/>
                <w:lang w:val="nl-NL"/>
              </w:rPr>
              <w:t xml:space="preserve">Mô tả </w:t>
            </w:r>
            <w:r w:rsidRPr="006F3BCB">
              <w:rPr>
                <w:b/>
                <w:bCs/>
                <w:szCs w:val="24"/>
              </w:rPr>
              <w:t>công việc</w:t>
            </w:r>
            <w:r w:rsidRPr="006F3BCB">
              <w:rPr>
                <w:b/>
                <w:bCs/>
                <w:szCs w:val="24"/>
                <w:vertAlign w:val="superscript"/>
              </w:rPr>
              <w:t>(2)</w:t>
            </w:r>
          </w:p>
        </w:tc>
        <w:tc>
          <w:tcPr>
            <w:tcW w:w="2315" w:type="dxa"/>
            <w:shd w:val="clear" w:color="auto" w:fill="auto"/>
          </w:tcPr>
          <w:p w:rsidR="008A5F6F" w:rsidRPr="006F3BCB" w:rsidRDefault="008A5F6F" w:rsidP="00C93BD2">
            <w:pPr>
              <w:spacing w:before="120" w:after="120"/>
              <w:jc w:val="center"/>
              <w:rPr>
                <w:b/>
                <w:bCs/>
                <w:szCs w:val="24"/>
                <w:vertAlign w:val="superscript"/>
              </w:rPr>
            </w:pPr>
            <w:r w:rsidRPr="006F3BCB">
              <w:rPr>
                <w:b/>
                <w:bCs/>
                <w:szCs w:val="24"/>
              </w:rPr>
              <w:t>Khối lượng tham khảo</w:t>
            </w:r>
            <w:r w:rsidRPr="006F3BCB">
              <w:rPr>
                <w:b/>
                <w:bCs/>
                <w:szCs w:val="24"/>
                <w:vertAlign w:val="superscript"/>
              </w:rPr>
              <w:t>(3)</w:t>
            </w:r>
          </w:p>
        </w:tc>
        <w:tc>
          <w:tcPr>
            <w:tcW w:w="2491" w:type="dxa"/>
            <w:shd w:val="clear" w:color="auto" w:fill="auto"/>
          </w:tcPr>
          <w:p w:rsidR="008A5F6F" w:rsidRPr="006F3BCB" w:rsidRDefault="008A5F6F" w:rsidP="00C93BD2">
            <w:pPr>
              <w:spacing w:before="120" w:after="120"/>
              <w:jc w:val="center"/>
              <w:rPr>
                <w:b/>
                <w:bCs/>
                <w:szCs w:val="24"/>
              </w:rPr>
            </w:pPr>
            <w:r w:rsidRPr="006F3BCB">
              <w:rPr>
                <w:b/>
                <w:bCs/>
                <w:szCs w:val="24"/>
              </w:rPr>
              <w:t>Đơn vị tính</w:t>
            </w:r>
          </w:p>
        </w:tc>
      </w:tr>
      <w:tr w:rsidR="008A5F6F" w:rsidRPr="006F3BCB" w:rsidTr="00C93BD2">
        <w:tc>
          <w:tcPr>
            <w:tcW w:w="986" w:type="dxa"/>
            <w:shd w:val="clear" w:color="auto" w:fill="auto"/>
          </w:tcPr>
          <w:p w:rsidR="008A5F6F" w:rsidRPr="006F3BCB" w:rsidRDefault="008A5F6F" w:rsidP="00C93BD2">
            <w:pPr>
              <w:spacing w:before="120" w:after="120"/>
              <w:jc w:val="left"/>
              <w:rPr>
                <w:szCs w:val="24"/>
              </w:rPr>
            </w:pPr>
          </w:p>
        </w:tc>
        <w:tc>
          <w:tcPr>
            <w:tcW w:w="3270" w:type="dxa"/>
            <w:shd w:val="clear" w:color="auto" w:fill="auto"/>
          </w:tcPr>
          <w:p w:rsidR="008A5F6F" w:rsidRPr="006F3BCB" w:rsidRDefault="008A5F6F" w:rsidP="00C93BD2">
            <w:pPr>
              <w:spacing w:before="120" w:after="120"/>
              <w:jc w:val="left"/>
              <w:rPr>
                <w:szCs w:val="24"/>
              </w:rPr>
            </w:pPr>
          </w:p>
        </w:tc>
        <w:tc>
          <w:tcPr>
            <w:tcW w:w="2315" w:type="dxa"/>
            <w:shd w:val="clear" w:color="auto" w:fill="auto"/>
          </w:tcPr>
          <w:p w:rsidR="008A5F6F" w:rsidRPr="006F3BCB" w:rsidRDefault="008A5F6F" w:rsidP="00C93BD2">
            <w:pPr>
              <w:spacing w:before="120" w:after="120"/>
              <w:jc w:val="left"/>
              <w:rPr>
                <w:szCs w:val="24"/>
              </w:rPr>
            </w:pPr>
          </w:p>
        </w:tc>
        <w:tc>
          <w:tcPr>
            <w:tcW w:w="2491" w:type="dxa"/>
            <w:shd w:val="clear" w:color="auto" w:fill="auto"/>
          </w:tcPr>
          <w:p w:rsidR="008A5F6F" w:rsidRPr="006F3BCB" w:rsidRDefault="008A5F6F" w:rsidP="00C93BD2">
            <w:pPr>
              <w:spacing w:before="120" w:after="120"/>
              <w:jc w:val="left"/>
              <w:rPr>
                <w:szCs w:val="24"/>
              </w:rPr>
            </w:pPr>
          </w:p>
        </w:tc>
      </w:tr>
      <w:tr w:rsidR="008A5F6F" w:rsidRPr="006F3BCB" w:rsidTr="00C93BD2">
        <w:tc>
          <w:tcPr>
            <w:tcW w:w="986" w:type="dxa"/>
            <w:shd w:val="clear" w:color="auto" w:fill="auto"/>
          </w:tcPr>
          <w:p w:rsidR="008A5F6F" w:rsidRPr="006F3BCB" w:rsidRDefault="008A5F6F" w:rsidP="00C93BD2">
            <w:pPr>
              <w:spacing w:before="120" w:after="120"/>
              <w:jc w:val="left"/>
              <w:rPr>
                <w:szCs w:val="24"/>
              </w:rPr>
            </w:pPr>
          </w:p>
        </w:tc>
        <w:tc>
          <w:tcPr>
            <w:tcW w:w="3270" w:type="dxa"/>
            <w:shd w:val="clear" w:color="auto" w:fill="auto"/>
          </w:tcPr>
          <w:p w:rsidR="008A5F6F" w:rsidRPr="006F3BCB" w:rsidRDefault="008A5F6F" w:rsidP="00C93BD2">
            <w:pPr>
              <w:spacing w:before="120" w:after="120"/>
              <w:jc w:val="left"/>
              <w:rPr>
                <w:szCs w:val="24"/>
              </w:rPr>
            </w:pPr>
          </w:p>
        </w:tc>
        <w:tc>
          <w:tcPr>
            <w:tcW w:w="2315" w:type="dxa"/>
            <w:shd w:val="clear" w:color="auto" w:fill="auto"/>
          </w:tcPr>
          <w:p w:rsidR="008A5F6F" w:rsidRPr="006F3BCB" w:rsidRDefault="008A5F6F" w:rsidP="00C93BD2">
            <w:pPr>
              <w:spacing w:before="120" w:after="120"/>
              <w:jc w:val="left"/>
              <w:rPr>
                <w:szCs w:val="24"/>
              </w:rPr>
            </w:pPr>
          </w:p>
        </w:tc>
        <w:tc>
          <w:tcPr>
            <w:tcW w:w="2491" w:type="dxa"/>
            <w:shd w:val="clear" w:color="auto" w:fill="auto"/>
          </w:tcPr>
          <w:p w:rsidR="008A5F6F" w:rsidRPr="006F3BCB" w:rsidRDefault="008A5F6F" w:rsidP="00C93BD2">
            <w:pPr>
              <w:spacing w:before="120" w:after="120"/>
              <w:jc w:val="left"/>
              <w:rPr>
                <w:szCs w:val="24"/>
              </w:rPr>
            </w:pPr>
          </w:p>
        </w:tc>
      </w:tr>
      <w:tr w:rsidR="008A5F6F" w:rsidRPr="006F3BCB" w:rsidTr="00C93BD2">
        <w:tc>
          <w:tcPr>
            <w:tcW w:w="986" w:type="dxa"/>
            <w:shd w:val="clear" w:color="auto" w:fill="auto"/>
          </w:tcPr>
          <w:p w:rsidR="008A5F6F" w:rsidRPr="006F3BCB" w:rsidRDefault="008A5F6F" w:rsidP="00C93BD2">
            <w:pPr>
              <w:spacing w:before="120" w:after="120"/>
              <w:jc w:val="left"/>
              <w:rPr>
                <w:szCs w:val="24"/>
              </w:rPr>
            </w:pPr>
          </w:p>
        </w:tc>
        <w:tc>
          <w:tcPr>
            <w:tcW w:w="3270" w:type="dxa"/>
            <w:shd w:val="clear" w:color="auto" w:fill="auto"/>
          </w:tcPr>
          <w:p w:rsidR="008A5F6F" w:rsidRPr="006F3BCB" w:rsidRDefault="008A5F6F" w:rsidP="00C93BD2">
            <w:pPr>
              <w:spacing w:before="120" w:after="120"/>
              <w:jc w:val="left"/>
              <w:rPr>
                <w:szCs w:val="24"/>
              </w:rPr>
            </w:pPr>
          </w:p>
        </w:tc>
        <w:tc>
          <w:tcPr>
            <w:tcW w:w="2315" w:type="dxa"/>
            <w:shd w:val="clear" w:color="auto" w:fill="auto"/>
          </w:tcPr>
          <w:p w:rsidR="008A5F6F" w:rsidRPr="006F3BCB" w:rsidRDefault="008A5F6F" w:rsidP="00C93BD2">
            <w:pPr>
              <w:spacing w:before="120" w:after="120"/>
              <w:jc w:val="left"/>
              <w:rPr>
                <w:szCs w:val="24"/>
              </w:rPr>
            </w:pPr>
          </w:p>
        </w:tc>
        <w:tc>
          <w:tcPr>
            <w:tcW w:w="2491" w:type="dxa"/>
            <w:shd w:val="clear" w:color="auto" w:fill="auto"/>
          </w:tcPr>
          <w:p w:rsidR="008A5F6F" w:rsidRPr="006F3BCB" w:rsidRDefault="008A5F6F" w:rsidP="00C93BD2">
            <w:pPr>
              <w:spacing w:before="120" w:after="120"/>
              <w:jc w:val="left"/>
              <w:rPr>
                <w:szCs w:val="24"/>
              </w:rPr>
            </w:pPr>
          </w:p>
        </w:tc>
      </w:tr>
      <w:tr w:rsidR="008A5F6F" w:rsidRPr="006F3BCB" w:rsidTr="00C93BD2">
        <w:tc>
          <w:tcPr>
            <w:tcW w:w="986" w:type="dxa"/>
            <w:shd w:val="clear" w:color="auto" w:fill="auto"/>
          </w:tcPr>
          <w:p w:rsidR="008A5F6F" w:rsidRPr="006F3BCB" w:rsidRDefault="008A5F6F" w:rsidP="00C93BD2">
            <w:pPr>
              <w:spacing w:before="120" w:after="120"/>
              <w:jc w:val="left"/>
              <w:rPr>
                <w:szCs w:val="24"/>
              </w:rPr>
            </w:pPr>
          </w:p>
        </w:tc>
        <w:tc>
          <w:tcPr>
            <w:tcW w:w="3270" w:type="dxa"/>
            <w:shd w:val="clear" w:color="auto" w:fill="auto"/>
          </w:tcPr>
          <w:p w:rsidR="008A5F6F" w:rsidRPr="006F3BCB" w:rsidRDefault="008A5F6F" w:rsidP="00C93BD2">
            <w:pPr>
              <w:spacing w:before="120" w:after="120"/>
              <w:jc w:val="left"/>
              <w:rPr>
                <w:szCs w:val="24"/>
              </w:rPr>
            </w:pPr>
          </w:p>
        </w:tc>
        <w:tc>
          <w:tcPr>
            <w:tcW w:w="2315" w:type="dxa"/>
            <w:shd w:val="clear" w:color="auto" w:fill="auto"/>
          </w:tcPr>
          <w:p w:rsidR="008A5F6F" w:rsidRPr="006F3BCB" w:rsidRDefault="008A5F6F" w:rsidP="00C93BD2">
            <w:pPr>
              <w:spacing w:before="120" w:after="120"/>
              <w:jc w:val="left"/>
              <w:rPr>
                <w:szCs w:val="24"/>
              </w:rPr>
            </w:pPr>
          </w:p>
        </w:tc>
        <w:tc>
          <w:tcPr>
            <w:tcW w:w="2491" w:type="dxa"/>
            <w:shd w:val="clear" w:color="auto" w:fill="auto"/>
          </w:tcPr>
          <w:p w:rsidR="008A5F6F" w:rsidRPr="006F3BCB" w:rsidRDefault="008A5F6F" w:rsidP="00C93BD2">
            <w:pPr>
              <w:spacing w:before="120" w:after="120"/>
              <w:jc w:val="left"/>
              <w:rPr>
                <w:szCs w:val="24"/>
              </w:rPr>
            </w:pPr>
          </w:p>
        </w:tc>
      </w:tr>
    </w:tbl>
    <w:p w:rsidR="008A5F6F" w:rsidRPr="006F3BCB" w:rsidRDefault="008A5F6F" w:rsidP="008A5F6F">
      <w:pPr>
        <w:spacing w:before="120" w:after="120"/>
        <w:ind w:firstLine="567"/>
        <w:jc w:val="left"/>
        <w:rPr>
          <w:szCs w:val="24"/>
        </w:rPr>
      </w:pPr>
      <w:r w:rsidRPr="006F3BCB">
        <w:rPr>
          <w:szCs w:val="24"/>
        </w:rPr>
        <w:t>Ghi chú:</w:t>
      </w:r>
    </w:p>
    <w:p w:rsidR="008A5F6F" w:rsidRPr="006F3BCB" w:rsidRDefault="008A5F6F" w:rsidP="008A5F6F">
      <w:pPr>
        <w:spacing w:before="120" w:after="120"/>
        <w:ind w:firstLine="567"/>
        <w:rPr>
          <w:szCs w:val="24"/>
        </w:rPr>
      </w:pPr>
      <w:r w:rsidRPr="006F3BCB">
        <w:rPr>
          <w:szCs w:val="24"/>
        </w:rPr>
        <w:t>(1),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11A Chương này.</w:t>
      </w:r>
    </w:p>
    <w:p w:rsidR="008A5F6F" w:rsidRPr="006F3BCB" w:rsidRDefault="008A5F6F" w:rsidP="008A5F6F">
      <w:pPr>
        <w:spacing w:before="120" w:after="120"/>
        <w:ind w:firstLine="567"/>
        <w:rPr>
          <w:szCs w:val="24"/>
          <w:lang w:val="nl-NL"/>
        </w:rPr>
      </w:pPr>
      <w:r w:rsidRPr="006F3BCB">
        <w:rPr>
          <w:szCs w:val="24"/>
          <w:lang w:val="nl-NL"/>
        </w:rPr>
        <w:t>(2) Dẫn chiếu đến nội dung tương ứng quy định tại Chương V.</w:t>
      </w:r>
    </w:p>
    <w:p w:rsidR="00C37404" w:rsidRDefault="00C37404">
      <w:bookmarkStart w:id="0" w:name="_GoBack"/>
      <w:bookmarkEnd w:id="0"/>
    </w:p>
    <w:sectPr w:rsidR="00C374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6F"/>
    <w:rsid w:val="008A5F6F"/>
    <w:rsid w:val="00C3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87032-22D0-4ED0-A761-CA9BBAF3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6F"/>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2024-11-15T02:26:00Z</dcterms:created>
  <dcterms:modified xsi:type="dcterms:W3CDTF">2024-11-15T02:26:00Z</dcterms:modified>
</cp:coreProperties>
</file>