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F5C" w:rsidRPr="00F11F5C" w:rsidRDefault="00F11F5C" w:rsidP="00F11F5C">
      <w:pPr>
        <w:spacing w:after="150" w:line="240" w:lineRule="auto"/>
        <w:jc w:val="center"/>
        <w:rPr>
          <w:rFonts w:ascii="Times New Roman" w:eastAsia="Times New Roman" w:hAnsi="Times New Roman" w:cs="Times New Roman"/>
          <w:color w:val="333333"/>
          <w:sz w:val="24"/>
          <w:szCs w:val="24"/>
        </w:rPr>
      </w:pPr>
      <w:r w:rsidRPr="00F11F5C">
        <w:rPr>
          <w:rFonts w:ascii="Times New Roman" w:eastAsia="Times New Roman" w:hAnsi="Times New Roman" w:cs="Times New Roman"/>
          <w:b/>
          <w:bCs/>
          <w:color w:val="333333"/>
          <w:sz w:val="24"/>
          <w:szCs w:val="24"/>
        </w:rPr>
        <w:t>CỘNG HÒA XÃ HỘI CHỦ NGHĨA VIỆT NAM</w:t>
      </w:r>
    </w:p>
    <w:p w:rsidR="00F11F5C" w:rsidRPr="00F11F5C" w:rsidRDefault="00F11F5C" w:rsidP="00F11F5C">
      <w:pPr>
        <w:spacing w:after="15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b/>
          <w:bCs/>
          <w:noProof/>
          <w:color w:val="333333"/>
          <w:sz w:val="24"/>
          <w:szCs w:val="24"/>
        </w:rPr>
        <mc:AlternateContent>
          <mc:Choice Requires="wps">
            <w:drawing>
              <wp:anchor distT="0" distB="0" distL="114300" distR="114300" simplePos="0" relativeHeight="251659264" behindDoc="0" locked="0" layoutInCell="1" allowOverlap="1">
                <wp:simplePos x="0" y="0"/>
                <wp:positionH relativeFrom="column">
                  <wp:posOffset>2057399</wp:posOffset>
                </wp:positionH>
                <wp:positionV relativeFrom="paragraph">
                  <wp:posOffset>206568</wp:posOffset>
                </wp:positionV>
                <wp:extent cx="1818861"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18188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A2939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pt,16.25pt" to="305.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" strokecolor="black [3200]" strokeweight=".5pt">
                <v:stroke joinstyle="miter"/>
              </v:line>
            </w:pict>
          </mc:Fallback>
        </mc:AlternateContent>
      </w:r>
      <w:r w:rsidRPr="00F11F5C">
        <w:rPr>
          <w:rFonts w:ascii="Times New Roman" w:eastAsia="Times New Roman" w:hAnsi="Times New Roman" w:cs="Times New Roman"/>
          <w:b/>
          <w:bCs/>
          <w:color w:val="333333"/>
          <w:sz w:val="24"/>
          <w:szCs w:val="24"/>
        </w:rPr>
        <w:t>Độc lập – Tự do – Hạnh phúc</w:t>
      </w:r>
    </w:p>
    <w:p w:rsidR="00F11F5C" w:rsidRDefault="00F11F5C" w:rsidP="00F11F5C">
      <w:pPr>
        <w:spacing w:after="150" w:line="240" w:lineRule="auto"/>
        <w:jc w:val="center"/>
        <w:rPr>
          <w:rFonts w:ascii="Times New Roman" w:eastAsia="Times New Roman" w:hAnsi="Times New Roman" w:cs="Times New Roman"/>
          <w:color w:val="333333"/>
          <w:sz w:val="24"/>
          <w:szCs w:val="24"/>
        </w:rPr>
      </w:pPr>
    </w:p>
    <w:p w:rsidR="00F11F5C" w:rsidRPr="00F11F5C" w:rsidRDefault="00F11F5C" w:rsidP="00F11F5C">
      <w:pPr>
        <w:spacing w:after="150" w:line="240" w:lineRule="auto"/>
        <w:jc w:val="center"/>
        <w:rPr>
          <w:rFonts w:ascii="Times New Roman" w:eastAsia="Times New Roman" w:hAnsi="Times New Roman" w:cs="Times New Roman"/>
          <w:color w:val="333333"/>
          <w:sz w:val="24"/>
          <w:szCs w:val="24"/>
        </w:rPr>
      </w:pPr>
      <w:r w:rsidRPr="00F11F5C">
        <w:rPr>
          <w:rFonts w:ascii="Times New Roman" w:eastAsia="Times New Roman" w:hAnsi="Times New Roman" w:cs="Times New Roman"/>
          <w:b/>
          <w:bCs/>
          <w:color w:val="333333"/>
          <w:sz w:val="24"/>
          <w:szCs w:val="24"/>
        </w:rPr>
        <w:t>HỢP ĐỒNG MUA BÁN BÁNH KẸO</w:t>
      </w:r>
    </w:p>
    <w:p w:rsidR="00F11F5C" w:rsidRPr="00F11F5C" w:rsidRDefault="00F11F5C" w:rsidP="00F11F5C">
      <w:pPr>
        <w:spacing w:after="150" w:line="240" w:lineRule="auto"/>
        <w:jc w:val="center"/>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Số: ………/HĐ - MBBK</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i/>
          <w:iCs/>
          <w:color w:val="333333"/>
          <w:sz w:val="24"/>
          <w:szCs w:val="24"/>
        </w:rPr>
        <w:t>Căn c</w:t>
      </w:r>
      <w:r w:rsidRPr="00F11F5C">
        <w:rPr>
          <w:rFonts w:ascii="Times New Roman" w:eastAsia="Times New Roman" w:hAnsi="Times New Roman" w:cs="Times New Roman"/>
          <w:b/>
          <w:bCs/>
          <w:i/>
          <w:iCs/>
          <w:color w:val="333333"/>
          <w:sz w:val="24"/>
          <w:szCs w:val="24"/>
        </w:rPr>
        <w:t>ứ:</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i/>
          <w:iCs/>
          <w:color w:val="333333"/>
          <w:sz w:val="24"/>
          <w:szCs w:val="24"/>
        </w:rPr>
        <w:t>– Bộ luật Dân sự số 91/2015/QH13 được Quốc hội nước Cộng hòa xã hội chủ nghĩa Việt Nam thông qua ngày 24 tháng 11 năm 2015, hiệu lực ngày 01/01/2017;</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i/>
          <w:iCs/>
          <w:color w:val="333333"/>
          <w:sz w:val="24"/>
          <w:szCs w:val="24"/>
        </w:rPr>
        <w:t>– Luật Thương mại số 36/2005/QH11 do Quốc hội nước Cộng hòa xã hội chủ nghĩa Việt Nam thông qua ngày 14 tháng 6 năm 2005;</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i/>
          <w:iCs/>
          <w:color w:val="333333"/>
          <w:sz w:val="24"/>
          <w:szCs w:val="24"/>
        </w:rPr>
        <w:t>– Nhu cầu và khả năng của hai Bên.</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Hôm nay, ngày … tháng  …  năm …., tại …………………………….., chúng tôi gồm:</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b/>
          <w:bCs/>
          <w:color w:val="333333"/>
          <w:sz w:val="24"/>
          <w:szCs w:val="24"/>
        </w:rPr>
        <w:t>Bên Mua (</w:t>
      </w:r>
      <w:r w:rsidRPr="00F11F5C">
        <w:rPr>
          <w:rFonts w:ascii="Times New Roman" w:eastAsia="Times New Roman" w:hAnsi="Times New Roman" w:cs="Times New Roman"/>
          <w:color w:val="333333"/>
          <w:sz w:val="24"/>
          <w:szCs w:val="24"/>
        </w:rPr>
        <w:t>Sau đây gọi là</w:t>
      </w:r>
      <w:r w:rsidRPr="00F11F5C">
        <w:rPr>
          <w:rFonts w:ascii="Times New Roman" w:eastAsia="Times New Roman" w:hAnsi="Times New Roman" w:cs="Times New Roman"/>
          <w:b/>
          <w:bCs/>
          <w:color w:val="333333"/>
          <w:sz w:val="24"/>
          <w:szCs w:val="24"/>
        </w:rPr>
        <w:t> Bên A): </w:t>
      </w:r>
      <w:r w:rsidRPr="00F11F5C">
        <w:rPr>
          <w:rFonts w:ascii="Times New Roman" w:eastAsia="Times New Roman" w:hAnsi="Times New Roman" w:cs="Times New Roman"/>
          <w:color w:val="333333"/>
          <w:sz w:val="24"/>
          <w:szCs w:val="24"/>
        </w:rPr>
        <w:t>……………………………………………</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 Địa chỉ:………………………………………….</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 Điện thoại:………………………….                 Fax:………………………</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 Mã số thuế:…………………………………………………..</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 Số tài khoản:…………………………………………………</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 Mở tại:…………………………………………………..</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 Đại diện:………………………………………………….</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 Chức vụ:……………………………………………</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b/>
          <w:bCs/>
          <w:color w:val="333333"/>
          <w:sz w:val="24"/>
          <w:szCs w:val="24"/>
        </w:rPr>
        <w:t>Bên Bán (Sau đây gọi là Bên B):</w:t>
      </w:r>
      <w:r w:rsidRPr="00F11F5C">
        <w:rPr>
          <w:rFonts w:ascii="Times New Roman" w:eastAsia="Times New Roman" w:hAnsi="Times New Roman" w:cs="Times New Roman"/>
          <w:color w:val="333333"/>
          <w:sz w:val="24"/>
          <w:szCs w:val="24"/>
        </w:rPr>
        <w:t> …………………………………………….</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 Địa chỉ:…………………………………………….</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 Điện thoại:………………………….                          – Fax:…………………….</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 Mã số thuế:…………………………………………..</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 Số tài khoản:………………………………………………</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 Mở tại:………………………………………………………</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 Đại diện:……………………………………………..</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 Chức vụ:………………………………….</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Sau khi thỏa thuận, hai bên thống nhất ký kết Hợp đồng mua bán bánh kẹo với các điều kiện và điều khoản như sau:</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b/>
          <w:bCs/>
          <w:color w:val="333333"/>
          <w:sz w:val="24"/>
          <w:szCs w:val="24"/>
        </w:rPr>
        <w:t>ĐIỀU 01. ĐỐI TƯỢNG HỢP ĐỒNG</w:t>
      </w:r>
    </w:p>
    <w:p w:rsid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lastRenderedPageBreak/>
        <w:t>Bên Bán đồng ý bán, Bên Mua đồng ý mua hàng hóa có chi tiết, quy cách, theo chủng loại, số lượng như sau:</w:t>
      </w:r>
    </w:p>
    <w:tbl>
      <w:tblPr>
        <w:tblStyle w:val="TableGrid"/>
        <w:tblW w:w="0" w:type="auto"/>
        <w:jc w:val="center"/>
        <w:tblLook w:val="04A0" w:firstRow="1" w:lastRow="0" w:firstColumn="1" w:lastColumn="0" w:noHBand="0" w:noVBand="1"/>
      </w:tblPr>
      <w:tblGrid>
        <w:gridCol w:w="1558"/>
        <w:gridCol w:w="1558"/>
        <w:gridCol w:w="1558"/>
        <w:gridCol w:w="1558"/>
        <w:gridCol w:w="1559"/>
        <w:gridCol w:w="1559"/>
      </w:tblGrid>
      <w:tr w:rsidR="00F11F5C" w:rsidTr="00F11F5C">
        <w:trPr>
          <w:jc w:val="center"/>
        </w:trPr>
        <w:tc>
          <w:tcPr>
            <w:tcW w:w="1558" w:type="dxa"/>
            <w:vAlign w:val="center"/>
          </w:tcPr>
          <w:p w:rsidR="00F11F5C" w:rsidRPr="00F11F5C" w:rsidRDefault="00F11F5C" w:rsidP="00F11F5C">
            <w:pPr>
              <w:spacing w:after="150"/>
              <w:jc w:val="center"/>
              <w:rPr>
                <w:rFonts w:ascii="Times New Roman" w:eastAsia="Times New Roman" w:hAnsi="Times New Roman" w:cs="Times New Roman"/>
                <w:b/>
                <w:color w:val="333333"/>
                <w:sz w:val="24"/>
                <w:szCs w:val="24"/>
              </w:rPr>
            </w:pPr>
            <w:r w:rsidRPr="00F11F5C">
              <w:rPr>
                <w:rFonts w:ascii="Times New Roman" w:eastAsia="Times New Roman" w:hAnsi="Times New Roman" w:cs="Times New Roman"/>
                <w:b/>
                <w:color w:val="333333"/>
                <w:sz w:val="24"/>
                <w:szCs w:val="24"/>
              </w:rPr>
              <w:t>STT</w:t>
            </w:r>
          </w:p>
        </w:tc>
        <w:tc>
          <w:tcPr>
            <w:tcW w:w="1558" w:type="dxa"/>
            <w:vAlign w:val="center"/>
          </w:tcPr>
          <w:p w:rsidR="00F11F5C" w:rsidRPr="00F11F5C" w:rsidRDefault="00F11F5C" w:rsidP="00F11F5C">
            <w:pPr>
              <w:spacing w:after="150"/>
              <w:jc w:val="center"/>
              <w:rPr>
                <w:rFonts w:ascii="Times New Roman" w:eastAsia="Times New Roman" w:hAnsi="Times New Roman" w:cs="Times New Roman"/>
                <w:b/>
                <w:color w:val="333333"/>
                <w:sz w:val="24"/>
                <w:szCs w:val="24"/>
              </w:rPr>
            </w:pPr>
            <w:r w:rsidRPr="00F11F5C">
              <w:rPr>
                <w:rFonts w:ascii="Times New Roman" w:eastAsia="Times New Roman" w:hAnsi="Times New Roman" w:cs="Times New Roman"/>
                <w:b/>
                <w:color w:val="333333"/>
                <w:sz w:val="24"/>
                <w:szCs w:val="24"/>
              </w:rPr>
              <w:t>TÊN HÀNG HÓA</w:t>
            </w:r>
          </w:p>
        </w:tc>
        <w:tc>
          <w:tcPr>
            <w:tcW w:w="1558" w:type="dxa"/>
            <w:vAlign w:val="center"/>
          </w:tcPr>
          <w:p w:rsidR="00F11F5C" w:rsidRPr="00F11F5C" w:rsidRDefault="00F11F5C" w:rsidP="00F11F5C">
            <w:pPr>
              <w:spacing w:after="150"/>
              <w:jc w:val="center"/>
              <w:rPr>
                <w:rFonts w:ascii="Times New Roman" w:eastAsia="Times New Roman" w:hAnsi="Times New Roman" w:cs="Times New Roman"/>
                <w:b/>
                <w:color w:val="333333"/>
                <w:sz w:val="24"/>
                <w:szCs w:val="24"/>
              </w:rPr>
            </w:pPr>
            <w:r w:rsidRPr="00F11F5C">
              <w:rPr>
                <w:rFonts w:ascii="Times New Roman" w:eastAsia="Times New Roman" w:hAnsi="Times New Roman" w:cs="Times New Roman"/>
                <w:b/>
                <w:color w:val="333333"/>
                <w:sz w:val="24"/>
                <w:szCs w:val="24"/>
              </w:rPr>
              <w:t>QUY CÁCH</w:t>
            </w:r>
          </w:p>
        </w:tc>
        <w:tc>
          <w:tcPr>
            <w:tcW w:w="1558" w:type="dxa"/>
            <w:vAlign w:val="center"/>
          </w:tcPr>
          <w:p w:rsidR="00F11F5C" w:rsidRPr="00F11F5C" w:rsidRDefault="00F11F5C" w:rsidP="00F11F5C">
            <w:pPr>
              <w:spacing w:after="150"/>
              <w:jc w:val="center"/>
              <w:rPr>
                <w:rFonts w:ascii="Times New Roman" w:eastAsia="Times New Roman" w:hAnsi="Times New Roman" w:cs="Times New Roman"/>
                <w:b/>
                <w:color w:val="333333"/>
                <w:sz w:val="24"/>
                <w:szCs w:val="24"/>
              </w:rPr>
            </w:pPr>
            <w:r w:rsidRPr="00F11F5C">
              <w:rPr>
                <w:rFonts w:ascii="Times New Roman" w:eastAsia="Times New Roman" w:hAnsi="Times New Roman" w:cs="Times New Roman"/>
                <w:b/>
                <w:color w:val="333333"/>
                <w:sz w:val="24"/>
                <w:szCs w:val="24"/>
              </w:rPr>
              <w:t>SỐ LƯỢNG</w:t>
            </w:r>
          </w:p>
        </w:tc>
        <w:tc>
          <w:tcPr>
            <w:tcW w:w="1559" w:type="dxa"/>
            <w:vAlign w:val="center"/>
          </w:tcPr>
          <w:p w:rsidR="00F11F5C" w:rsidRPr="00F11F5C" w:rsidRDefault="00F11F5C" w:rsidP="00F11F5C">
            <w:pPr>
              <w:spacing w:after="150"/>
              <w:jc w:val="center"/>
              <w:rPr>
                <w:rFonts w:ascii="Times New Roman" w:eastAsia="Times New Roman" w:hAnsi="Times New Roman" w:cs="Times New Roman"/>
                <w:b/>
                <w:color w:val="333333"/>
                <w:sz w:val="24"/>
                <w:szCs w:val="24"/>
              </w:rPr>
            </w:pPr>
            <w:r w:rsidRPr="00F11F5C">
              <w:rPr>
                <w:rFonts w:ascii="Times New Roman" w:eastAsia="Times New Roman" w:hAnsi="Times New Roman" w:cs="Times New Roman"/>
                <w:b/>
                <w:color w:val="333333"/>
                <w:sz w:val="24"/>
                <w:szCs w:val="24"/>
              </w:rPr>
              <w:t>THÀNH TIỀN</w:t>
            </w:r>
          </w:p>
        </w:tc>
        <w:tc>
          <w:tcPr>
            <w:tcW w:w="1559" w:type="dxa"/>
            <w:vAlign w:val="center"/>
          </w:tcPr>
          <w:p w:rsidR="00F11F5C" w:rsidRPr="00F11F5C" w:rsidRDefault="00F11F5C" w:rsidP="00F11F5C">
            <w:pPr>
              <w:spacing w:after="150"/>
              <w:jc w:val="center"/>
              <w:rPr>
                <w:rFonts w:ascii="Times New Roman" w:eastAsia="Times New Roman" w:hAnsi="Times New Roman" w:cs="Times New Roman"/>
                <w:b/>
                <w:color w:val="333333"/>
                <w:sz w:val="24"/>
                <w:szCs w:val="24"/>
              </w:rPr>
            </w:pPr>
            <w:r w:rsidRPr="00F11F5C">
              <w:rPr>
                <w:rFonts w:ascii="Times New Roman" w:eastAsia="Times New Roman" w:hAnsi="Times New Roman" w:cs="Times New Roman"/>
                <w:b/>
                <w:color w:val="333333"/>
                <w:sz w:val="24"/>
                <w:szCs w:val="24"/>
              </w:rPr>
              <w:t>GHI CHÚ</w:t>
            </w:r>
          </w:p>
        </w:tc>
      </w:tr>
      <w:tr w:rsidR="00F11F5C" w:rsidTr="00F11F5C">
        <w:trPr>
          <w:jc w:val="center"/>
        </w:trPr>
        <w:tc>
          <w:tcPr>
            <w:tcW w:w="1558" w:type="dxa"/>
            <w:vAlign w:val="center"/>
          </w:tcPr>
          <w:p w:rsidR="00F11F5C" w:rsidRDefault="00F11F5C" w:rsidP="00F11F5C">
            <w:pPr>
              <w:spacing w:after="150"/>
              <w:jc w:val="center"/>
              <w:rPr>
                <w:rFonts w:ascii="Times New Roman" w:eastAsia="Times New Roman" w:hAnsi="Times New Roman" w:cs="Times New Roman"/>
                <w:color w:val="333333"/>
                <w:sz w:val="24"/>
                <w:szCs w:val="24"/>
              </w:rPr>
            </w:pPr>
          </w:p>
        </w:tc>
        <w:tc>
          <w:tcPr>
            <w:tcW w:w="1558" w:type="dxa"/>
            <w:vAlign w:val="center"/>
          </w:tcPr>
          <w:p w:rsidR="00F11F5C" w:rsidRDefault="00F11F5C" w:rsidP="00F11F5C">
            <w:pPr>
              <w:spacing w:after="150"/>
              <w:jc w:val="center"/>
              <w:rPr>
                <w:rFonts w:ascii="Times New Roman" w:eastAsia="Times New Roman" w:hAnsi="Times New Roman" w:cs="Times New Roman"/>
                <w:color w:val="333333"/>
                <w:sz w:val="24"/>
                <w:szCs w:val="24"/>
              </w:rPr>
            </w:pPr>
          </w:p>
        </w:tc>
        <w:tc>
          <w:tcPr>
            <w:tcW w:w="1558" w:type="dxa"/>
            <w:vAlign w:val="center"/>
          </w:tcPr>
          <w:p w:rsidR="00F11F5C" w:rsidRDefault="00F11F5C" w:rsidP="00F11F5C">
            <w:pPr>
              <w:spacing w:after="150"/>
              <w:jc w:val="center"/>
              <w:rPr>
                <w:rFonts w:ascii="Times New Roman" w:eastAsia="Times New Roman" w:hAnsi="Times New Roman" w:cs="Times New Roman"/>
                <w:color w:val="333333"/>
                <w:sz w:val="24"/>
                <w:szCs w:val="24"/>
              </w:rPr>
            </w:pPr>
          </w:p>
        </w:tc>
        <w:tc>
          <w:tcPr>
            <w:tcW w:w="1558" w:type="dxa"/>
            <w:vAlign w:val="center"/>
          </w:tcPr>
          <w:p w:rsidR="00F11F5C" w:rsidRDefault="00F11F5C" w:rsidP="00F11F5C">
            <w:pPr>
              <w:spacing w:after="150"/>
              <w:jc w:val="center"/>
              <w:rPr>
                <w:rFonts w:ascii="Times New Roman" w:eastAsia="Times New Roman" w:hAnsi="Times New Roman" w:cs="Times New Roman"/>
                <w:color w:val="333333"/>
                <w:sz w:val="24"/>
                <w:szCs w:val="24"/>
              </w:rPr>
            </w:pPr>
          </w:p>
        </w:tc>
        <w:tc>
          <w:tcPr>
            <w:tcW w:w="1559" w:type="dxa"/>
            <w:vAlign w:val="center"/>
          </w:tcPr>
          <w:p w:rsidR="00F11F5C" w:rsidRDefault="00F11F5C" w:rsidP="00F11F5C">
            <w:pPr>
              <w:spacing w:after="150"/>
              <w:jc w:val="center"/>
              <w:rPr>
                <w:rFonts w:ascii="Times New Roman" w:eastAsia="Times New Roman" w:hAnsi="Times New Roman" w:cs="Times New Roman"/>
                <w:color w:val="333333"/>
                <w:sz w:val="24"/>
                <w:szCs w:val="24"/>
              </w:rPr>
            </w:pPr>
          </w:p>
        </w:tc>
        <w:tc>
          <w:tcPr>
            <w:tcW w:w="1559" w:type="dxa"/>
            <w:vAlign w:val="center"/>
          </w:tcPr>
          <w:p w:rsidR="00F11F5C" w:rsidRDefault="00F11F5C" w:rsidP="00F11F5C">
            <w:pPr>
              <w:spacing w:after="150"/>
              <w:jc w:val="center"/>
              <w:rPr>
                <w:rFonts w:ascii="Times New Roman" w:eastAsia="Times New Roman" w:hAnsi="Times New Roman" w:cs="Times New Roman"/>
                <w:color w:val="333333"/>
                <w:sz w:val="24"/>
                <w:szCs w:val="24"/>
              </w:rPr>
            </w:pPr>
          </w:p>
        </w:tc>
      </w:tr>
    </w:tbl>
    <w:p w:rsidR="00F11F5C" w:rsidRDefault="00F11F5C" w:rsidP="00F11F5C">
      <w:pPr>
        <w:spacing w:after="150" w:line="240" w:lineRule="auto"/>
        <w:jc w:val="both"/>
        <w:rPr>
          <w:rFonts w:ascii="Times New Roman" w:eastAsia="Times New Roman" w:hAnsi="Times New Roman" w:cs="Times New Roman"/>
          <w:color w:val="333333"/>
          <w:sz w:val="24"/>
          <w:szCs w:val="24"/>
        </w:rPr>
      </w:pP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bookmarkStart w:id="0" w:name="_GoBack"/>
      <w:bookmarkEnd w:id="0"/>
      <w:r w:rsidRPr="00F11F5C">
        <w:rPr>
          <w:rFonts w:ascii="Times New Roman" w:eastAsia="Times New Roman" w:hAnsi="Times New Roman" w:cs="Times New Roman"/>
          <w:b/>
          <w:bCs/>
          <w:color w:val="333333"/>
          <w:sz w:val="24"/>
          <w:szCs w:val="24"/>
        </w:rPr>
        <w:t>ĐIỀU 2. THANH TOÁN</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2.1. Bên Mua có nghĩa vụ thanh toán cho Bên Bán theo quy định sau:</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 Lần 1: ………………..</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 Lần 2: ………………..</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2.2. Hình thức thanh toán: bằng tiền mặt hoặc chuyển khoản hoặc hình thức khác tùy theo thoả thuận của hai bên. Thanh toán bằng tiền Việt Nam Đồng (VNĐ) theo hóa đơn tài chính.</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b/>
          <w:bCs/>
          <w:color w:val="333333"/>
          <w:sz w:val="24"/>
          <w:szCs w:val="24"/>
        </w:rPr>
        <w:t>ĐIỀU 3. GIAO NHẬN HÀNG HÓA</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3.1. Địa điểm giao hàng do hai bên thoả thuận: …………….</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Các chứng từ nộp kèm: …………………………………………</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3.2. Thời hạn giao hàng: …………………………………….</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b/>
          <w:bCs/>
          <w:color w:val="333333"/>
          <w:sz w:val="24"/>
          <w:szCs w:val="24"/>
        </w:rPr>
        <w:t>ĐIỀU 4. TRÁCH NHIỆM VÀ QUYỀN HẠN CỦA CÁC BÊN</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4.1. Quyền và trách nhiệm của Bên Mua</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Nhận hàng đúng thời hạn, địa điểm, chủng loại và số lượng đã được quy định tại các điều khoản trong hợp đồng này.</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Thanh toán đầy đủ và đúng thời hạn theo quy định tại Điều 3 nêu trên.</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Nếu Bên Mua đơn phương đình chỉ, chấm dứt Hợp Đồng này không có lý do chính đáng được Bên bán chấp thuận, Bên Mua sẽ bị phạt 08% (tám phần trăm) Giá Trị Hợp Đồng, đồng thời phải bồi thường cho Bên Bán toàn bộ thiệt hại mà Bên Bán phải gánh chịu do việc đình chỉ, chấm dứt Hợp đồng của Bên Mua.</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Các quyền và nghĩa vụ khác theo quy định của Hợp Đồng này và quy định pháp luật.</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4.2. Quyền và trách nhiệm của Bên Bán</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Giao hàng đúng hạn, đúng địa điểm, đúng chủng loại và số lượng cho Bên Mua.</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Nhận tiền thanh toán từ Bên Mua theo thời hạn được quy định tại Điều 2 nêu trên.</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Có quyền yêu cầu Bên Mua hỗ trợ, thực hiện đúng và đầy đủ theo thể lệ và thông báo do Bên Bán cung cấp khi có chương trình khuyến mại.</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 xml:space="preserve">Có quyền ngừng bán, ngừng giao hàng hoặc ngừng giao dịch khi Bên Mua chưa thanh toán bất kỳ hóa đơn nào đã đến hạn thanh toán. Trong trường hợp này, Bên Mua có trách nhiệm thanh toán theo thông báo của Bên Bán. Chỉ khi nào Bên Bán xác nhận việc hoàn thành nghĩa vụ thanh toán </w:t>
      </w:r>
      <w:r w:rsidRPr="00F11F5C">
        <w:rPr>
          <w:rFonts w:ascii="Times New Roman" w:eastAsia="Times New Roman" w:hAnsi="Times New Roman" w:cs="Times New Roman"/>
          <w:color w:val="333333"/>
          <w:sz w:val="24"/>
          <w:szCs w:val="24"/>
        </w:rPr>
        <w:lastRenderedPageBreak/>
        <w:t>của Bên Mua thì hợp đồng này mới được tiếp tục thực hiện. Đối với bất kỳ vi phạm nào về nghĩa vụ thanh toán hoặc nhận hàng mà không có lý do chính đáng của Bên Mua theo Hợp đồng này, Bên Bán đều có quyền đơn phương chấm dứt hợp đồng và yêu cầu Bên Mua bồi thường thiệt hại.</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Bên Bán sẽ không chịu bất cứ phạt vi phạm hợp đồng nào nếu các vi phạm có nguyên nhân từ việc chậm thanh toán của Bên Mua.</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b/>
          <w:bCs/>
          <w:color w:val="333333"/>
          <w:sz w:val="24"/>
          <w:szCs w:val="24"/>
        </w:rPr>
        <w:t>ĐIỀU 5. LUẬT ĐIỀU CHỈNH VÀ GIẢI QUYẾT TRANH CHẤP</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5.1. Hợp đồng này, quyền và nghĩa vụ của Các Bên được điều chỉnh, giải thích và thi hành theo pháp luật Việt Nam.</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5.2. Các Bên sẽ giải quyết một cách thiện chí thông qua thương lượng hòa giải tất cả các tranh chấp phát sinh trong quá trình thực hiện Hợp đồng này trong vòng 30 ngày. Trong trường hợp tranh chấp không được giải quyết theo cách này, tranh chấp sẽ được một trong Các Bên đưa ra tòa án có thẩm quyền tại Việt Nam để giải quyết.</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b/>
          <w:bCs/>
          <w:color w:val="333333"/>
          <w:sz w:val="24"/>
          <w:szCs w:val="24"/>
        </w:rPr>
        <w:t>ĐIỀU 6.CHẤM DỨT HỢP ĐỒNG</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Hợp đồng này sẽ chấm dứt khi có một trong các căn cứ sau:</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6.1. Hai bên có thỏa thuận chấm dứt thực hiện hợp đồng;</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6.2. Hợp đồng không thể thực hiện do có vi phạm pháp luật;</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6.3. Hợp đồng không thể thực hiện do nhà nước cấm thực hiện;</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6.4. Một bên có hành vi vi phạm nghĩa vụ……….. được ghi nhận trong Hợp đồng này và bên bị vi phạm có yêu cầu chấm dứt thực hiện hợp đồng.</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b/>
          <w:bCs/>
          <w:color w:val="333333"/>
          <w:sz w:val="24"/>
          <w:szCs w:val="24"/>
        </w:rPr>
        <w:t>ĐIỀU 7. ĐIỀU KHOẢN CHUNG</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7.1. Hai bên cam kết thực hiện đúng và đầy đủ những điều khoản được quy định trong hợp đồng này.</w:t>
      </w:r>
    </w:p>
    <w:p w:rsidR="00F11F5C" w:rsidRPr="00F11F5C" w:rsidRDefault="00F11F5C" w:rsidP="00F11F5C">
      <w:pPr>
        <w:spacing w:after="150" w:line="240" w:lineRule="auto"/>
        <w:jc w:val="both"/>
        <w:rPr>
          <w:rFonts w:ascii="Times New Roman" w:eastAsia="Times New Roman" w:hAnsi="Times New Roman" w:cs="Times New Roman"/>
          <w:color w:val="333333"/>
          <w:sz w:val="24"/>
          <w:szCs w:val="24"/>
        </w:rPr>
      </w:pPr>
      <w:r w:rsidRPr="00F11F5C">
        <w:rPr>
          <w:rFonts w:ascii="Times New Roman" w:eastAsia="Times New Roman" w:hAnsi="Times New Roman" w:cs="Times New Roman"/>
          <w:color w:val="333333"/>
          <w:sz w:val="24"/>
          <w:szCs w:val="24"/>
        </w:rPr>
        <w:t>7.2. Hợp đồng này có hiệu lực từ ngày ký, được lập thành …. bản có giá trị pháp lý như nhau, mỗi bên giữ …… bản để thực hiện.</w:t>
      </w:r>
    </w:p>
    <w:p w:rsidR="00F11F5C" w:rsidRPr="00F11F5C" w:rsidRDefault="00F11F5C" w:rsidP="00F11F5C">
      <w:pPr>
        <w:spacing w:after="150" w:line="240" w:lineRule="auto"/>
        <w:jc w:val="center"/>
        <w:rPr>
          <w:rFonts w:ascii="Times New Roman" w:eastAsia="Times New Roman" w:hAnsi="Times New Roman" w:cs="Times New Roman"/>
          <w:color w:val="333333"/>
          <w:sz w:val="24"/>
          <w:szCs w:val="24"/>
        </w:rPr>
      </w:pPr>
      <w:r w:rsidRPr="00F11F5C">
        <w:rPr>
          <w:rFonts w:ascii="Times New Roman" w:eastAsia="Times New Roman" w:hAnsi="Times New Roman" w:cs="Times New Roman"/>
          <w:b/>
          <w:bCs/>
          <w:color w:val="333333"/>
          <w:sz w:val="24"/>
          <w:szCs w:val="24"/>
        </w:rPr>
        <w:t>BÊN MUA                                                                 BÊN BÁN</w:t>
      </w:r>
    </w:p>
    <w:p w:rsidR="008A21FC" w:rsidRPr="00F11F5C" w:rsidRDefault="00F11F5C">
      <w:pPr>
        <w:rPr>
          <w:rFonts w:ascii="Times New Roman" w:hAnsi="Times New Roman" w:cs="Times New Roman"/>
          <w:sz w:val="24"/>
          <w:szCs w:val="24"/>
        </w:rPr>
      </w:pPr>
    </w:p>
    <w:sectPr w:rsidR="008A21FC" w:rsidRPr="00F11F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F5C"/>
    <w:rsid w:val="007E09EA"/>
    <w:rsid w:val="00BD7983"/>
    <w:rsid w:val="00F11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4C8A6-AB92-4AF5-9515-43504EB7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1F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1F5C"/>
    <w:rPr>
      <w:b/>
      <w:bCs/>
    </w:rPr>
  </w:style>
  <w:style w:type="character" w:styleId="Emphasis">
    <w:name w:val="Emphasis"/>
    <w:basedOn w:val="DefaultParagraphFont"/>
    <w:uiPriority w:val="20"/>
    <w:qFormat/>
    <w:rsid w:val="00F11F5C"/>
    <w:rPr>
      <w:i/>
      <w:iCs/>
    </w:rPr>
  </w:style>
  <w:style w:type="table" w:styleId="TableGrid">
    <w:name w:val="Table Grid"/>
    <w:basedOn w:val="TableNormal"/>
    <w:uiPriority w:val="39"/>
    <w:rsid w:val="00F11F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12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2024-12-23T10:26:00Z</dcterms:created>
  <dcterms:modified xsi:type="dcterms:W3CDTF">2024-12-23T10:31:00Z</dcterms:modified>
</cp:coreProperties>
</file>