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B6" w:rsidRDefault="006B75B6" w:rsidP="006B75B6">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Phụ lục VI</w:t>
      </w:r>
    </w:p>
    <w:p w:rsidR="006B75B6" w:rsidRPr="00437753" w:rsidRDefault="006B75B6" w:rsidP="006B75B6">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CHUYÊN MÔN VÀ LĨNH VỰC CẤP CHỨNG CHỈ HÀNH NGHỀ HOẠT ĐỘNG XÂY DỰNG</w:t>
      </w:r>
    </w:p>
    <w:p w:rsidR="006B75B6" w:rsidRPr="00437753" w:rsidRDefault="006B75B6" w:rsidP="006B75B6">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(Kèm theo Nghị định số 175/2024/NĐ-CP ngày 30 tháng 12 năm 2024 của Chính phủ)</w:t>
      </w:r>
    </w:p>
    <w:p w:rsidR="006B75B6" w:rsidRPr="004005FB" w:rsidRDefault="006B75B6" w:rsidP="006B75B6">
      <w:pPr>
        <w:shd w:val="clear" w:color="auto" w:fill="FFFFFF"/>
        <w:jc w:val="center"/>
        <w:rPr>
          <w:rFonts w:ascii="Arial" w:eastAsia="Times New Roman" w:hAnsi="Arial" w:cs="Arial"/>
          <w:sz w:val="20"/>
          <w:szCs w:val="20"/>
          <w:vertAlign w:val="superscript"/>
        </w:rPr>
      </w:pPr>
      <w:r w:rsidRPr="004005FB">
        <w:rPr>
          <w:rFonts w:ascii="Arial" w:eastAsia="Times New Roman" w:hAnsi="Arial" w:cs="Arial"/>
          <w:sz w:val="20"/>
          <w:szCs w:val="20"/>
          <w:vertAlign w:val="superscript"/>
        </w:rPr>
        <w:t>____________</w:t>
      </w:r>
    </w:p>
    <w:p w:rsidR="006B75B6" w:rsidRPr="00437753" w:rsidRDefault="006B75B6" w:rsidP="006B75B6">
      <w:pPr>
        <w:shd w:val="clear" w:color="auto" w:fill="FFFFFF"/>
        <w:jc w:val="center"/>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497"/>
        <w:gridCol w:w="2271"/>
        <w:gridCol w:w="3827"/>
        <w:gridCol w:w="4313"/>
      </w:tblGrid>
      <w:tr w:rsidR="006B75B6" w:rsidRPr="00143148" w:rsidTr="00C45AAC">
        <w:tc>
          <w:tcPr>
            <w:tcW w:w="373" w:type="pct"/>
            <w:vMerge w:val="restart"/>
            <w:shd w:val="clear" w:color="auto" w:fill="auto"/>
            <w:vAlign w:val="center"/>
          </w:tcPr>
          <w:p w:rsidR="006B75B6" w:rsidRPr="00437753" w:rsidRDefault="006B75B6"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1709" w:type="pct"/>
            <w:gridSpan w:val="2"/>
            <w:shd w:val="clear" w:color="auto" w:fill="auto"/>
            <w:vAlign w:val="center"/>
          </w:tcPr>
          <w:p w:rsidR="006B75B6" w:rsidRPr="00437753" w:rsidRDefault="006B75B6" w:rsidP="00C45AAC">
            <w:pPr>
              <w:jc w:val="center"/>
              <w:rPr>
                <w:rFonts w:ascii="Arial" w:eastAsia="Times New Roman" w:hAnsi="Arial" w:cs="Arial"/>
                <w:b/>
                <w:bCs/>
                <w:sz w:val="20"/>
                <w:szCs w:val="20"/>
              </w:rPr>
            </w:pPr>
            <w:r w:rsidRPr="00437753">
              <w:rPr>
                <w:rFonts w:ascii="Arial" w:eastAsia="Times New Roman" w:hAnsi="Arial" w:cs="Arial"/>
                <w:b/>
                <w:bCs/>
                <w:sz w:val="20"/>
                <w:szCs w:val="20"/>
              </w:rPr>
              <w:t>Lĩnh vực cấp CCHN</w:t>
            </w:r>
          </w:p>
        </w:tc>
        <w:tc>
          <w:tcPr>
            <w:tcW w:w="2918" w:type="pct"/>
            <w:gridSpan w:val="2"/>
            <w:shd w:val="clear" w:color="auto" w:fill="auto"/>
            <w:vAlign w:val="center"/>
          </w:tcPr>
          <w:p w:rsidR="006B75B6" w:rsidRPr="00437753" w:rsidRDefault="006B75B6" w:rsidP="00C45AAC">
            <w:pPr>
              <w:jc w:val="center"/>
              <w:rPr>
                <w:rFonts w:ascii="Arial" w:eastAsia="Times New Roman" w:hAnsi="Arial" w:cs="Arial"/>
                <w:b/>
                <w:bCs/>
                <w:sz w:val="20"/>
                <w:szCs w:val="20"/>
              </w:rPr>
            </w:pPr>
            <w:r w:rsidRPr="00437753">
              <w:rPr>
                <w:rFonts w:ascii="Arial" w:eastAsia="Times New Roman" w:hAnsi="Arial" w:cs="Arial"/>
                <w:b/>
                <w:bCs/>
                <w:sz w:val="20"/>
                <w:szCs w:val="20"/>
              </w:rPr>
              <w:t>Chuyên môn</w:t>
            </w:r>
          </w:p>
        </w:tc>
      </w:tr>
      <w:tr w:rsidR="006B75B6" w:rsidRPr="00143148" w:rsidTr="00C45AAC">
        <w:tc>
          <w:tcPr>
            <w:tcW w:w="373" w:type="pct"/>
            <w:vMerge/>
            <w:shd w:val="clear" w:color="auto" w:fill="auto"/>
            <w:vAlign w:val="center"/>
          </w:tcPr>
          <w:p w:rsidR="006B75B6" w:rsidRPr="00437753" w:rsidRDefault="006B75B6" w:rsidP="00C45AAC">
            <w:pPr>
              <w:jc w:val="center"/>
              <w:rPr>
                <w:rFonts w:ascii="Arial" w:eastAsia="Times New Roman" w:hAnsi="Arial" w:cs="Arial"/>
                <w:b/>
                <w:bCs/>
                <w:sz w:val="20"/>
                <w:szCs w:val="20"/>
              </w:rPr>
            </w:pPr>
          </w:p>
        </w:tc>
        <w:tc>
          <w:tcPr>
            <w:tcW w:w="895" w:type="pct"/>
            <w:shd w:val="clear" w:color="auto" w:fill="auto"/>
            <w:vAlign w:val="center"/>
          </w:tcPr>
          <w:p w:rsidR="006B75B6" w:rsidRPr="00437753" w:rsidRDefault="006B75B6" w:rsidP="00C45AAC">
            <w:pPr>
              <w:jc w:val="center"/>
              <w:rPr>
                <w:rFonts w:ascii="Arial" w:eastAsia="Times New Roman" w:hAnsi="Arial" w:cs="Arial"/>
                <w:b/>
                <w:bCs/>
                <w:sz w:val="20"/>
                <w:szCs w:val="20"/>
              </w:rPr>
            </w:pPr>
            <w:r w:rsidRPr="00437753">
              <w:rPr>
                <w:rFonts w:ascii="Arial" w:eastAsia="Times New Roman" w:hAnsi="Arial" w:cs="Arial"/>
                <w:b/>
                <w:bCs/>
                <w:sz w:val="20"/>
                <w:szCs w:val="20"/>
              </w:rPr>
              <w:t>Lĩnh vực cấp</w:t>
            </w:r>
          </w:p>
        </w:tc>
        <w:tc>
          <w:tcPr>
            <w:tcW w:w="814" w:type="pct"/>
            <w:shd w:val="clear" w:color="auto" w:fill="auto"/>
            <w:vAlign w:val="center"/>
          </w:tcPr>
          <w:p w:rsidR="006B75B6" w:rsidRPr="00437753" w:rsidRDefault="006B75B6" w:rsidP="00C45AAC">
            <w:pPr>
              <w:jc w:val="center"/>
              <w:rPr>
                <w:rFonts w:ascii="Arial" w:eastAsia="Times New Roman" w:hAnsi="Arial" w:cs="Arial"/>
                <w:b/>
                <w:bCs/>
                <w:sz w:val="20"/>
                <w:szCs w:val="20"/>
              </w:rPr>
            </w:pPr>
            <w:r w:rsidRPr="00437753">
              <w:rPr>
                <w:rFonts w:ascii="Arial" w:eastAsia="Times New Roman" w:hAnsi="Arial" w:cs="Arial"/>
                <w:b/>
                <w:bCs/>
                <w:sz w:val="20"/>
                <w:szCs w:val="20"/>
              </w:rPr>
              <w:t>Nội dung hành nghề</w:t>
            </w:r>
          </w:p>
        </w:tc>
        <w:tc>
          <w:tcPr>
            <w:tcW w:w="1372" w:type="pct"/>
            <w:shd w:val="clear" w:color="auto" w:fill="auto"/>
            <w:vAlign w:val="center"/>
          </w:tcPr>
          <w:p w:rsidR="006B75B6" w:rsidRPr="00437753" w:rsidRDefault="006B75B6" w:rsidP="00C45AAC">
            <w:pPr>
              <w:jc w:val="center"/>
              <w:rPr>
                <w:rFonts w:ascii="Arial" w:eastAsia="Times New Roman" w:hAnsi="Arial" w:cs="Arial"/>
                <w:b/>
                <w:bCs/>
                <w:sz w:val="20"/>
                <w:szCs w:val="20"/>
              </w:rPr>
            </w:pPr>
            <w:r w:rsidRPr="00437753">
              <w:rPr>
                <w:rFonts w:ascii="Arial" w:eastAsia="Times New Roman" w:hAnsi="Arial" w:cs="Arial"/>
                <w:b/>
                <w:bCs/>
                <w:sz w:val="20"/>
                <w:szCs w:val="20"/>
              </w:rPr>
              <w:t>Chuyên ngành đào tạo theo văn bằng</w:t>
            </w:r>
          </w:p>
        </w:tc>
        <w:tc>
          <w:tcPr>
            <w:tcW w:w="1546" w:type="pct"/>
            <w:shd w:val="clear" w:color="auto" w:fill="auto"/>
            <w:vAlign w:val="center"/>
          </w:tcPr>
          <w:p w:rsidR="006B75B6" w:rsidRPr="00437753" w:rsidRDefault="006B75B6" w:rsidP="00C45AAC">
            <w:pPr>
              <w:jc w:val="center"/>
              <w:rPr>
                <w:rFonts w:ascii="Arial" w:eastAsia="Times New Roman" w:hAnsi="Arial" w:cs="Arial"/>
                <w:b/>
                <w:bCs/>
                <w:sz w:val="20"/>
                <w:szCs w:val="20"/>
              </w:rPr>
            </w:pPr>
            <w:r w:rsidRPr="00437753">
              <w:rPr>
                <w:rFonts w:ascii="Arial" w:eastAsia="Times New Roman" w:hAnsi="Arial" w:cs="Arial"/>
                <w:b/>
                <w:bCs/>
                <w:sz w:val="20"/>
                <w:szCs w:val="20"/>
              </w:rPr>
              <w:t>Chuyên môn đào tạo phù hợp thể hiện tại bảng điểm/phụ lục văn bằng trong trường hợp văn bằng không ghi rõ</w:t>
            </w:r>
            <w:r w:rsidRPr="00437753">
              <w:rPr>
                <w:rFonts w:ascii="Arial" w:eastAsia="Times New Roman" w:hAnsi="Arial" w:cs="Arial"/>
                <w:b/>
                <w:bCs/>
                <w:sz w:val="20"/>
                <w:szCs w:val="20"/>
              </w:rPr>
              <w:br/>
              <w:t>chuyên ngành đào tạo</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b/>
                <w:bCs/>
                <w:sz w:val="20"/>
                <w:szCs w:val="20"/>
              </w:rPr>
              <w:t>1</w:t>
            </w:r>
          </w:p>
        </w:tc>
        <w:tc>
          <w:tcPr>
            <w:tcW w:w="4627" w:type="pct"/>
            <w:gridSpan w:val="4"/>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b/>
                <w:bCs/>
                <w:sz w:val="20"/>
                <w:szCs w:val="20"/>
              </w:rPr>
              <w:t>Lĩnh vực khảo sát xây dựng</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1.1</w:t>
            </w:r>
          </w:p>
        </w:tc>
        <w:tc>
          <w:tcPr>
            <w:tcW w:w="1709" w:type="pct"/>
            <w:gridSpan w:val="2"/>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Khảo sát địa hình</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trắc địa, bản đồ hoặc các chuyên ngành kỹ thuật xây dựng có liên quan.</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môn học về trắc địa, bản đồ.</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1.2</w:t>
            </w:r>
          </w:p>
        </w:tc>
        <w:tc>
          <w:tcPr>
            <w:tcW w:w="1709" w:type="pct"/>
            <w:gridSpan w:val="2"/>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Khảo sát địa chất công trình</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địa chất công trình, địa chất thủy văn hoặc các chuyên ngành kỹ thuật xây dựng có liên quan.</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môn học về địa chất công trình, địa chất thủy văn.</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b/>
                <w:bCs/>
                <w:sz w:val="20"/>
                <w:szCs w:val="20"/>
              </w:rPr>
              <w:t>2</w:t>
            </w:r>
          </w:p>
        </w:tc>
        <w:tc>
          <w:tcPr>
            <w:tcW w:w="4627" w:type="pct"/>
            <w:gridSpan w:val="4"/>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b/>
                <w:bCs/>
                <w:sz w:val="20"/>
                <w:szCs w:val="20"/>
              </w:rPr>
              <w:t>Lĩnh vực thiết kế quy hoạch xây dựng</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p>
        </w:tc>
        <w:tc>
          <w:tcPr>
            <w:tcW w:w="1709" w:type="pct"/>
            <w:gridSpan w:val="2"/>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Thiết kế quy hoạch xây dựng</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kiến trúc (không bao gồm thiết kế nội thất và kiến trúc nội thất, cảnh quan), quy hoạch xây dựng, giao thông, kỹ thuật điện, cấp nước, thoát nước và xử lý nước thải, tài nguyên nước và hạ tầng kỹ thuật đô thị, kinh tế đô thị.</w:t>
            </w:r>
          </w:p>
        </w:tc>
        <w:tc>
          <w:tcPr>
            <w:tcW w:w="1546" w:type="pct"/>
            <w:shd w:val="clear" w:color="auto" w:fill="auto"/>
          </w:tcPr>
          <w:p w:rsidR="006B75B6" w:rsidRPr="00437753" w:rsidRDefault="006B75B6" w:rsidP="00C45AAC">
            <w:pPr>
              <w:rPr>
                <w:rFonts w:ascii="Arial" w:eastAsia="Times New Roman" w:hAnsi="Arial" w:cs="Arial"/>
                <w:sz w:val="20"/>
                <w:szCs w:val="20"/>
              </w:rPr>
            </w:pP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b/>
                <w:bCs/>
                <w:sz w:val="20"/>
                <w:szCs w:val="20"/>
              </w:rPr>
              <w:t>3</w:t>
            </w:r>
          </w:p>
        </w:tc>
        <w:tc>
          <w:tcPr>
            <w:tcW w:w="4627" w:type="pct"/>
            <w:gridSpan w:val="4"/>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b/>
                <w:bCs/>
                <w:sz w:val="20"/>
                <w:szCs w:val="20"/>
              </w:rPr>
              <w:t>Lĩnh vực thiết kế xây dựng</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3.1</w:t>
            </w:r>
          </w:p>
        </w:tc>
        <w:tc>
          <w:tcPr>
            <w:tcW w:w="895" w:type="pct"/>
            <w:vMerge w:val="restar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Thiết kế xây dựng công trình</w:t>
            </w: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Kết cấu công trình</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kết cấu công trình dân dụng và công nghiệp.</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3.2</w:t>
            </w:r>
          </w:p>
        </w:tc>
        <w:tc>
          <w:tcPr>
            <w:tcW w:w="895" w:type="pct"/>
            <w:vMerge/>
            <w:shd w:val="clear" w:color="auto" w:fill="auto"/>
          </w:tcPr>
          <w:p w:rsidR="006B75B6" w:rsidRPr="00437753" w:rsidRDefault="006B75B6" w:rsidP="00C45AAC">
            <w:pPr>
              <w:rPr>
                <w:rFonts w:ascii="Arial" w:eastAsia="Times New Roman" w:hAnsi="Arial" w:cs="Arial"/>
                <w:sz w:val="20"/>
                <w:szCs w:val="20"/>
              </w:rPr>
            </w:pP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Công trình Khai thác mỏ</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công trình ngầm và mỏ.</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ngầm và mỏ.</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3.3</w:t>
            </w:r>
          </w:p>
        </w:tc>
        <w:tc>
          <w:tcPr>
            <w:tcW w:w="895" w:type="pct"/>
            <w:vMerge/>
            <w:shd w:val="clear" w:color="auto" w:fill="auto"/>
          </w:tcPr>
          <w:p w:rsidR="006B75B6" w:rsidRPr="00437753" w:rsidRDefault="006B75B6" w:rsidP="00C45AAC">
            <w:pPr>
              <w:rPr>
                <w:rFonts w:ascii="Arial" w:eastAsia="Times New Roman" w:hAnsi="Arial" w:cs="Arial"/>
                <w:sz w:val="20"/>
                <w:szCs w:val="20"/>
              </w:rPr>
            </w:pP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Công trình Đường bộ</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bộ.</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bộ.</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3.4</w:t>
            </w:r>
          </w:p>
        </w:tc>
        <w:tc>
          <w:tcPr>
            <w:tcW w:w="895" w:type="pct"/>
            <w:vMerge/>
            <w:shd w:val="clear" w:color="auto" w:fill="auto"/>
          </w:tcPr>
          <w:p w:rsidR="006B75B6" w:rsidRPr="00437753" w:rsidRDefault="006B75B6" w:rsidP="00C45AAC">
            <w:pPr>
              <w:rPr>
                <w:rFonts w:ascii="Arial" w:eastAsia="Times New Roman" w:hAnsi="Arial" w:cs="Arial"/>
                <w:sz w:val="20"/>
                <w:szCs w:val="20"/>
              </w:rPr>
            </w:pP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Công trình Đường sắt</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sắt.</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sắt.</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3.5</w:t>
            </w:r>
          </w:p>
        </w:tc>
        <w:tc>
          <w:tcPr>
            <w:tcW w:w="895" w:type="pct"/>
            <w:vMerge/>
            <w:shd w:val="clear" w:color="auto" w:fill="auto"/>
          </w:tcPr>
          <w:p w:rsidR="006B75B6" w:rsidRPr="00437753" w:rsidRDefault="006B75B6" w:rsidP="00C45AAC">
            <w:pPr>
              <w:rPr>
                <w:rFonts w:ascii="Arial" w:eastAsia="Times New Roman" w:hAnsi="Arial" w:cs="Arial"/>
                <w:sz w:val="20"/>
                <w:szCs w:val="20"/>
              </w:rPr>
            </w:pP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Công trình Cầu - Hầm</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cầu, hầm.</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cầu, hầm.</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lastRenderedPageBreak/>
              <w:t>3.6</w:t>
            </w:r>
          </w:p>
        </w:tc>
        <w:tc>
          <w:tcPr>
            <w:tcW w:w="895" w:type="pct"/>
            <w:vMerge/>
            <w:shd w:val="clear" w:color="auto" w:fill="auto"/>
          </w:tcPr>
          <w:p w:rsidR="006B75B6" w:rsidRPr="00437753" w:rsidRDefault="006B75B6" w:rsidP="00C45AAC">
            <w:pPr>
              <w:rPr>
                <w:rFonts w:ascii="Arial" w:eastAsia="Times New Roman" w:hAnsi="Arial" w:cs="Arial"/>
                <w:sz w:val="20"/>
                <w:szCs w:val="20"/>
              </w:rPr>
            </w:pP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Công trình Đường thủy nội địa - Hàng hải</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công trình giao thông đường thủy nội địa, cảng đường thủy, công trình trên sông, công trình cảng biển</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giao thông đường thủy nội địa, cảng đường thủy, công trình trên sông, công trình cảng biển.</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3.7</w:t>
            </w:r>
          </w:p>
        </w:tc>
        <w:tc>
          <w:tcPr>
            <w:tcW w:w="895" w:type="pct"/>
            <w:vMerge/>
            <w:shd w:val="clear" w:color="auto" w:fill="auto"/>
          </w:tcPr>
          <w:p w:rsidR="006B75B6" w:rsidRPr="00437753" w:rsidRDefault="006B75B6" w:rsidP="00C45AAC">
            <w:pPr>
              <w:rPr>
                <w:rFonts w:ascii="Arial" w:eastAsia="Times New Roman" w:hAnsi="Arial" w:cs="Arial"/>
                <w:sz w:val="20"/>
                <w:szCs w:val="20"/>
              </w:rPr>
            </w:pP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Công trình Thủy lợi, đê điều</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công trình thủy lợi, thủy điện, đê điều.</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thủy lợi, thủy điện, đê điều.</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3.8</w:t>
            </w:r>
          </w:p>
        </w:tc>
        <w:tc>
          <w:tcPr>
            <w:tcW w:w="895" w:type="pct"/>
            <w:vMerge/>
            <w:shd w:val="clear" w:color="auto" w:fill="auto"/>
          </w:tcPr>
          <w:p w:rsidR="006B75B6" w:rsidRPr="00437753" w:rsidRDefault="006B75B6" w:rsidP="00C45AAC">
            <w:pPr>
              <w:rPr>
                <w:rFonts w:ascii="Arial" w:eastAsia="Times New Roman" w:hAnsi="Arial" w:cs="Arial"/>
                <w:sz w:val="20"/>
                <w:szCs w:val="20"/>
              </w:rPr>
            </w:pP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Công trình Cấp nước - thoát nước</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công trình cấp nước - thoát nước.</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công trình cấp nước - thoát nước.</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3.9</w:t>
            </w:r>
          </w:p>
        </w:tc>
        <w:tc>
          <w:tcPr>
            <w:tcW w:w="895" w:type="pct"/>
            <w:vMerge/>
            <w:shd w:val="clear" w:color="auto" w:fill="auto"/>
          </w:tcPr>
          <w:p w:rsidR="006B75B6" w:rsidRPr="00437753" w:rsidRDefault="006B75B6" w:rsidP="00C45AAC">
            <w:pPr>
              <w:rPr>
                <w:rFonts w:ascii="Arial" w:eastAsia="Times New Roman" w:hAnsi="Arial" w:cs="Arial"/>
                <w:sz w:val="20"/>
                <w:szCs w:val="20"/>
              </w:rPr>
            </w:pP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Công trình Xử lý chất thải rắn</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kỹ thuật môi trường.</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môi trường.</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3.10</w:t>
            </w:r>
          </w:p>
        </w:tc>
        <w:tc>
          <w:tcPr>
            <w:tcW w:w="895" w:type="pct"/>
            <w:vMerge w:val="restar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Thiết kế cơ – điện công trình</w:t>
            </w: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Hệ thống điện</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điện.</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3.11</w:t>
            </w:r>
          </w:p>
        </w:tc>
        <w:tc>
          <w:tcPr>
            <w:tcW w:w="895" w:type="pct"/>
            <w:vMerge/>
            <w:shd w:val="clear" w:color="auto" w:fill="auto"/>
          </w:tcPr>
          <w:p w:rsidR="006B75B6" w:rsidRPr="00437753" w:rsidRDefault="006B75B6" w:rsidP="00C45AAC">
            <w:pPr>
              <w:rPr>
                <w:rFonts w:ascii="Arial" w:eastAsia="Times New Roman" w:hAnsi="Arial" w:cs="Arial"/>
                <w:sz w:val="20"/>
                <w:szCs w:val="20"/>
              </w:rPr>
            </w:pP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Hệ thống cấp - thoát nước công trình</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cấp nước, thoát nước trong công trình.</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cấp nước, thoát nước trong công trình.</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3.12</w:t>
            </w:r>
          </w:p>
        </w:tc>
        <w:tc>
          <w:tcPr>
            <w:tcW w:w="895" w:type="pct"/>
            <w:vMerge/>
            <w:shd w:val="clear" w:color="auto" w:fill="auto"/>
          </w:tcPr>
          <w:p w:rsidR="006B75B6" w:rsidRPr="00437753" w:rsidRDefault="006B75B6" w:rsidP="00C45AAC">
            <w:pPr>
              <w:rPr>
                <w:rFonts w:ascii="Arial" w:eastAsia="Times New Roman" w:hAnsi="Arial" w:cs="Arial"/>
                <w:sz w:val="20"/>
                <w:szCs w:val="20"/>
              </w:rPr>
            </w:pPr>
          </w:p>
        </w:tc>
        <w:tc>
          <w:tcPr>
            <w:tcW w:w="814"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Hệ thống thông gió - cấp thoát nhiệt</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kỹ thuật thông gió - cấp thoát nhiệt, nhiệt lạnh, vi khí hậu.</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các môn học, đồ án môn học, đồ án tốt nghiệp về kỹ thuật thông gió - cấp thoát nhiệt, nhiệt lạnh, vi khí hậu.</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b/>
                <w:bCs/>
                <w:sz w:val="20"/>
                <w:szCs w:val="20"/>
              </w:rPr>
              <w:t>4</w:t>
            </w:r>
          </w:p>
        </w:tc>
        <w:tc>
          <w:tcPr>
            <w:tcW w:w="4627" w:type="pct"/>
            <w:gridSpan w:val="4"/>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b/>
                <w:bCs/>
                <w:sz w:val="20"/>
                <w:szCs w:val="20"/>
              </w:rPr>
              <w:t>Lĩnh vực giám sát thi công xây dựng</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4.1</w:t>
            </w:r>
          </w:p>
        </w:tc>
        <w:tc>
          <w:tcPr>
            <w:tcW w:w="1709" w:type="pct"/>
            <w:gridSpan w:val="2"/>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Giám sát công tác xây dựng công trình</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4.2</w:t>
            </w:r>
          </w:p>
        </w:tc>
        <w:tc>
          <w:tcPr>
            <w:tcW w:w="1709" w:type="pct"/>
            <w:gridSpan w:val="2"/>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Giám sát công tác lắp đặt thiết bị công trình</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b/>
                <w:bCs/>
                <w:sz w:val="20"/>
                <w:szCs w:val="20"/>
              </w:rPr>
              <w:t>5</w:t>
            </w:r>
          </w:p>
        </w:tc>
        <w:tc>
          <w:tcPr>
            <w:tcW w:w="4627" w:type="pct"/>
            <w:gridSpan w:val="4"/>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b/>
                <w:bCs/>
                <w:sz w:val="20"/>
                <w:szCs w:val="20"/>
              </w:rPr>
              <w:t>Lĩnh vực định giá xây dựng</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p>
        </w:tc>
        <w:tc>
          <w:tcPr>
            <w:tcW w:w="1709" w:type="pct"/>
            <w:gridSpan w:val="2"/>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Định giá xây dựng</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kinh tế xây dựng, kinh tế kỹ thuật và các ngành kỹ thuật liên quan.</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môn học về kinh tế xây dựng, kinh tế kỹ thuật và các ngành kỹ thuật liên quan.</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b/>
                <w:bCs/>
                <w:sz w:val="20"/>
                <w:szCs w:val="20"/>
              </w:rPr>
              <w:t>6</w:t>
            </w:r>
          </w:p>
        </w:tc>
        <w:tc>
          <w:tcPr>
            <w:tcW w:w="4627" w:type="pct"/>
            <w:gridSpan w:val="4"/>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b/>
                <w:bCs/>
                <w:sz w:val="20"/>
                <w:szCs w:val="20"/>
              </w:rPr>
              <w:t>Quản lý dự án đầu tư xây dựng</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p>
        </w:tc>
        <w:tc>
          <w:tcPr>
            <w:tcW w:w="1709" w:type="pct"/>
            <w:gridSpan w:val="2"/>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Quản lý dự án đầu tư xây dựng</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 xml:space="preserve">Chuyên ngành đào tạo về kết cấu công trình dân dụng, công nghiệp, công trình </w:t>
            </w:r>
            <w:r w:rsidRPr="00437753">
              <w:rPr>
                <w:rFonts w:ascii="Arial" w:eastAsia="Times New Roman" w:hAnsi="Arial" w:cs="Arial"/>
                <w:sz w:val="20"/>
                <w:szCs w:val="20"/>
              </w:rPr>
              <w:lastRenderedPageBreak/>
              <w:t>ngầm và mỏ, công 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lastRenderedPageBreak/>
              <w:t xml:space="preserve">Có môn học về kết cấu công trình dân dụng, công nghiệp, công trình ngầm và mỏ, công </w:t>
            </w:r>
            <w:r w:rsidRPr="00437753">
              <w:rPr>
                <w:rFonts w:ascii="Arial" w:eastAsia="Times New Roman" w:hAnsi="Arial" w:cs="Arial"/>
                <w:sz w:val="20"/>
                <w:szCs w:val="20"/>
              </w:rPr>
              <w:lastRenderedPageBreak/>
              <w:t>trình giao thông, công trình thủy lợi, đê điều, công trình cấp nước - thoát nước, kiến trúc, kinh tế xây dựng và chuyên ngành kỹ thuật có liên quan đến xây dựng công trình; kỹ thuật điện, thông gió - cấp thoát nhiệt, nhiệt lạnh, vi khí hậu, cấp nước - thoát nước trong công trình.</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b/>
                <w:bCs/>
                <w:sz w:val="20"/>
                <w:szCs w:val="20"/>
              </w:rPr>
              <w:lastRenderedPageBreak/>
              <w:t>7</w:t>
            </w:r>
          </w:p>
        </w:tc>
        <w:tc>
          <w:tcPr>
            <w:tcW w:w="4627" w:type="pct"/>
            <w:gridSpan w:val="4"/>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b/>
                <w:bCs/>
                <w:sz w:val="20"/>
                <w:szCs w:val="20"/>
              </w:rPr>
              <w:t>Chỉ huy trưởng công trường – Lĩnh vực không yêu cầu cấp chứng chỉ hành nghề</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7.1</w:t>
            </w:r>
          </w:p>
        </w:tc>
        <w:tc>
          <w:tcPr>
            <w:tcW w:w="1709" w:type="pct"/>
            <w:gridSpan w:val="2"/>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Chỉ huy trưởng công tác thi công xây dựng công trình</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kết cấu công trình dân dụng, công nghiệp, công trình ngầm và mỏ, công trình giao thông, thủy điện, công trình thủy lợi, đê điều, công trình cấp nước - thoát nước, kiến trúc, kinh tế xây dựng và chuyên ngành kỹ thuật có liên quan đến xây dựng công trình.</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môn học về kết cấu công trình dân dụng, công nghiệp, công trình ngầm và mỏ, công trình giao thông, công trình thủy lợi, đê điều, công trình cấp nước - thoát nước, kiến trúc, kinh tế xây dựng và chuyên ngành kỹ thuật có liên quan đến xây dựng công trình.</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sz w:val="20"/>
                <w:szCs w:val="20"/>
              </w:rPr>
              <w:t>7.2</w:t>
            </w:r>
          </w:p>
        </w:tc>
        <w:tc>
          <w:tcPr>
            <w:tcW w:w="1709" w:type="pct"/>
            <w:gridSpan w:val="2"/>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Chỉ huy trưởng công tác lắp đặt thiết bị công trình</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về kỹ thuật điện, thông gió - cấp thoát nhiệt, nhiệt lạnh, vi khí hậu, cấp nước - thoát nước trong công trình.</w:t>
            </w:r>
          </w:p>
        </w:tc>
        <w:tc>
          <w:tcPr>
            <w:tcW w:w="1546"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Có môn học về kỹ thuật điện, thông gió - cấp thoát nhiệt, nhiệt lạnh, vi khí hậu, cấp nước - thoát nước trong công trình.</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r w:rsidRPr="00437753">
              <w:rPr>
                <w:rFonts w:ascii="Arial" w:eastAsia="Times New Roman" w:hAnsi="Arial" w:cs="Arial"/>
                <w:b/>
                <w:bCs/>
                <w:sz w:val="20"/>
                <w:szCs w:val="20"/>
              </w:rPr>
              <w:t>8</w:t>
            </w:r>
          </w:p>
        </w:tc>
        <w:tc>
          <w:tcPr>
            <w:tcW w:w="4627" w:type="pct"/>
            <w:gridSpan w:val="4"/>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b/>
                <w:bCs/>
                <w:sz w:val="20"/>
                <w:szCs w:val="20"/>
              </w:rPr>
              <w:t>Kiểm định xây dựng - Lĩnh vực không yêu cầu chứng chỉ hành nghề</w:t>
            </w:r>
          </w:p>
        </w:tc>
      </w:tr>
      <w:tr w:rsidR="006B75B6" w:rsidRPr="00143148" w:rsidTr="00C45AAC">
        <w:tc>
          <w:tcPr>
            <w:tcW w:w="373" w:type="pct"/>
            <w:shd w:val="clear" w:color="auto" w:fill="auto"/>
          </w:tcPr>
          <w:p w:rsidR="006B75B6" w:rsidRPr="00437753" w:rsidRDefault="006B75B6" w:rsidP="00C45AAC">
            <w:pPr>
              <w:jc w:val="center"/>
              <w:rPr>
                <w:rFonts w:ascii="Arial" w:eastAsia="Times New Roman" w:hAnsi="Arial" w:cs="Arial"/>
                <w:sz w:val="20"/>
                <w:szCs w:val="20"/>
              </w:rPr>
            </w:pPr>
          </w:p>
        </w:tc>
        <w:tc>
          <w:tcPr>
            <w:tcW w:w="1709" w:type="pct"/>
            <w:gridSpan w:val="2"/>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Kiểm định xây dựng</w:t>
            </w:r>
          </w:p>
        </w:tc>
        <w:tc>
          <w:tcPr>
            <w:tcW w:w="1372" w:type="pct"/>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sz w:val="20"/>
                <w:szCs w:val="20"/>
              </w:rPr>
              <w:t>Chuyên ngành đào tạo tương ứng với chuyên ngành đào tạo của lĩnh vực thiết kế quy định từ mục 3.1 đến mục 3.12 Phụ lục này, phù hợp với nội dung kiểm định.</w:t>
            </w:r>
          </w:p>
        </w:tc>
        <w:tc>
          <w:tcPr>
            <w:tcW w:w="1546" w:type="pct"/>
            <w:shd w:val="clear" w:color="auto" w:fill="auto"/>
          </w:tcPr>
          <w:p w:rsidR="006B75B6" w:rsidRPr="00437753" w:rsidRDefault="006B75B6" w:rsidP="00C45AAC">
            <w:pPr>
              <w:rPr>
                <w:rFonts w:ascii="Arial" w:eastAsia="Times New Roman" w:hAnsi="Arial" w:cs="Arial"/>
                <w:sz w:val="20"/>
                <w:szCs w:val="20"/>
              </w:rPr>
            </w:pPr>
            <w:r>
              <w:rPr>
                <w:rFonts w:ascii="Arial" w:eastAsia="Times New Roman" w:hAnsi="Arial" w:cs="Arial"/>
                <w:sz w:val="20"/>
                <w:szCs w:val="20"/>
              </w:rPr>
              <w:t xml:space="preserve">Có môn học tương </w:t>
            </w:r>
            <w:r w:rsidRPr="00437753">
              <w:rPr>
                <w:rFonts w:ascii="Arial" w:eastAsia="Times New Roman" w:hAnsi="Arial" w:cs="Arial"/>
                <w:sz w:val="20"/>
                <w:szCs w:val="20"/>
              </w:rPr>
              <w:t>ứng với các nội dung của lĩnh vực thiết kế quy định từ mục 3.1 đến mục 3.12 Phụ lục này, phù hợp với nội dung kiểm định.</w:t>
            </w:r>
          </w:p>
        </w:tc>
      </w:tr>
      <w:tr w:rsidR="006B75B6" w:rsidRPr="00143148" w:rsidTr="00C45AAC">
        <w:tc>
          <w:tcPr>
            <w:tcW w:w="5000" w:type="pct"/>
            <w:gridSpan w:val="5"/>
            <w:shd w:val="clear" w:color="auto" w:fill="auto"/>
          </w:tcPr>
          <w:p w:rsidR="006B75B6" w:rsidRPr="00437753" w:rsidRDefault="006B75B6" w:rsidP="00C45AAC">
            <w:pPr>
              <w:rPr>
                <w:rFonts w:ascii="Arial" w:eastAsia="Times New Roman" w:hAnsi="Arial" w:cs="Arial"/>
                <w:sz w:val="20"/>
                <w:szCs w:val="20"/>
              </w:rPr>
            </w:pPr>
            <w:r w:rsidRPr="00437753">
              <w:rPr>
                <w:rFonts w:ascii="Arial" w:eastAsia="Times New Roman" w:hAnsi="Arial" w:cs="Arial"/>
                <w:b/>
                <w:bCs/>
                <w:i/>
                <w:iCs/>
                <w:sz w:val="20"/>
                <w:szCs w:val="20"/>
              </w:rPr>
              <w:t>*Ghi chú:</w:t>
            </w:r>
            <w:r w:rsidRPr="00437753">
              <w:rPr>
                <w:rFonts w:ascii="Arial" w:eastAsia="Times New Roman" w:hAnsi="Arial" w:cs="Arial"/>
                <w:sz w:val="20"/>
                <w:szCs w:val="20"/>
              </w:rPr>
              <w:br/>
              <w:t>- Đối với văn bằng đào tạo không thuộc hệ thống giáo dục Việt Nam, hội đồng xét cấp chứng chỉ hành nghề căn cứ bảng điểm/phụ lục vă</w:t>
            </w:r>
            <w:r>
              <w:rPr>
                <w:rFonts w:ascii="Arial" w:eastAsia="Times New Roman" w:hAnsi="Arial" w:cs="Arial"/>
                <w:sz w:val="20"/>
                <w:szCs w:val="20"/>
              </w:rPr>
              <w:t>n bằng để đánh giá tương đương.</w:t>
            </w:r>
            <w:r w:rsidRPr="00437753">
              <w:rPr>
                <w:rFonts w:ascii="Arial" w:eastAsia="Times New Roman" w:hAnsi="Arial" w:cs="Arial"/>
                <w:sz w:val="20"/>
                <w:szCs w:val="20"/>
              </w:rPr>
              <w:br/>
              <w:t>- Khi xét chuyên môn đào tạo phù hợp, hội đồng xét cấp chứng chỉ hành nghề căn cứ bảng điểm/phụ lục văn bằng để đánh giá nội dung đào tạo tương đương với đồ án môn học, đồ án tốt nghiệp.</w:t>
            </w:r>
          </w:p>
        </w:tc>
      </w:tr>
    </w:tbl>
    <w:p w:rsidR="006B75B6" w:rsidRDefault="006B75B6" w:rsidP="006B75B6">
      <w:pPr>
        <w:pBdr>
          <w:bottom w:val="single" w:sz="6" w:space="0" w:color="EAECEF"/>
        </w:pBdr>
        <w:shd w:val="clear" w:color="auto" w:fill="FFFFFF"/>
        <w:spacing w:after="120"/>
        <w:ind w:firstLine="720"/>
        <w:jc w:val="both"/>
        <w:rPr>
          <w:rFonts w:ascii="Arial" w:eastAsia="Times New Roman" w:hAnsi="Arial" w:cs="Arial"/>
          <w:sz w:val="20"/>
          <w:szCs w:val="20"/>
          <w:u w:val="single"/>
        </w:rPr>
      </w:pPr>
    </w:p>
    <w:p w:rsidR="006B75B6" w:rsidRDefault="006B75B6" w:rsidP="006B75B6">
      <w:pPr>
        <w:pBdr>
          <w:bottom w:val="single" w:sz="6" w:space="0" w:color="EAECEF"/>
        </w:pBdr>
        <w:shd w:val="clear" w:color="auto" w:fill="FFFFFF"/>
        <w:spacing w:after="120"/>
        <w:ind w:firstLine="720"/>
        <w:jc w:val="both"/>
        <w:rPr>
          <w:rFonts w:ascii="Arial" w:eastAsia="Times New Roman" w:hAnsi="Arial" w:cs="Arial"/>
          <w:b/>
          <w:bCs/>
          <w:sz w:val="20"/>
          <w:szCs w:val="20"/>
        </w:rPr>
        <w:sectPr w:rsidR="006B75B6" w:rsidSect="005034C1">
          <w:pgSz w:w="16838" w:h="11906" w:orient="landscape" w:code="9"/>
          <w:pgMar w:top="1440" w:right="1440" w:bottom="1440" w:left="1440" w:header="0" w:footer="0" w:gutter="0"/>
          <w:cols w:space="720"/>
          <w:docGrid w:linePitch="360"/>
        </w:sectPr>
      </w:pPr>
    </w:p>
    <w:p w:rsidR="008A21FC" w:rsidRDefault="006B75B6">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B6"/>
    <w:rsid w:val="006B75B6"/>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135B1-CA59-44EE-BD9D-666DA766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B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2025-01-11T04:44:00Z</dcterms:created>
  <dcterms:modified xsi:type="dcterms:W3CDTF">2025-01-11T04:44:00Z</dcterms:modified>
</cp:coreProperties>
</file>