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360" w:type="dxa"/>
        <w:jc w:val="left"/>
        <w:tblInd w:w="0" w:type="dxa"/>
        <w:tblBorders/>
        <w:tblCellMar>
          <w:top w:w="55" w:type="dxa"/>
          <w:left w:w="55" w:type="dxa"/>
          <w:bottom w:w="55" w:type="dxa"/>
          <w:right w:w="55" w:type="dxa"/>
        </w:tblCellMar>
      </w:tblPr>
      <w:tblGrid>
        <w:gridCol w:w="3510"/>
        <w:gridCol w:w="5850"/>
      </w:tblGrid>
      <w:tr>
        <w:trPr/>
        <w:tc>
          <w:tcPr>
            <w:tcW w:w="3510" w:type="dxa"/>
            <w:tcBorders/>
            <w:shd w:fill="auto" w:val="clear"/>
          </w:tcPr>
          <w:p>
            <w:pPr>
              <w:pStyle w:val="TextBody"/>
              <w:shd w:val="clear" w:color="auto" w:fill="FFFFFF"/>
              <w:spacing w:lineRule="auto" w:line="240" w:before="0" w:after="0"/>
              <w:jc w:val="center"/>
              <w:rPr>
                <w:rFonts w:ascii="Times New Roman" w:hAnsi="Times New Roman"/>
                <w:sz w:val="24"/>
                <w:szCs w:val="24"/>
              </w:rPr>
            </w:pPr>
            <w:r>
              <w:rPr>
                <w:rFonts w:eastAsia="Times New Roman" w:cs="Times New Roman" w:ascii="Times New Roman" w:hAnsi="Times New Roman"/>
                <w:b/>
                <w:bCs/>
                <w:color w:val="000000"/>
                <w:sz w:val="24"/>
                <w:szCs w:val="24"/>
              </w:rPr>
              <w:t>CÔNG TY: ............…</w:t>
            </w:r>
          </w:p>
          <w:p>
            <w:pPr>
              <w:pStyle w:val="TextBody"/>
              <w:shd w:val="clear" w:color="auto" w:fill="FFFFFF"/>
              <w:spacing w:lineRule="auto" w:line="240" w:before="0" w:after="0"/>
              <w:jc w:val="center"/>
              <w:rPr>
                <w:rFonts w:ascii="Times New Roman" w:hAnsi="Times New Roman"/>
                <w:sz w:val="24"/>
                <w:szCs w:val="24"/>
              </w:rPr>
            </w:pPr>
            <w:r>
              <w:rPr>
                <w:rFonts w:eastAsia="Times New Roman" w:cs="Times New Roman" w:ascii="Times New Roman" w:hAnsi="Times New Roman"/>
                <w:b/>
                <w:bCs/>
                <w:color w:val="000000"/>
                <w:sz w:val="24"/>
                <w:szCs w:val="24"/>
              </w:rPr>
              <w:t>Số: ......../QC-2026</w:t>
            </w:r>
          </w:p>
        </w:tc>
        <w:tc>
          <w:tcPr>
            <w:tcW w:w="5850" w:type="dxa"/>
            <w:tcBorders/>
            <w:shd w:fill="auto" w:val="clear"/>
          </w:tcPr>
          <w:p>
            <w:pPr>
              <w:pStyle w:val="Normal"/>
              <w:jc w:val="center"/>
              <w:rPr>
                <w:rFonts w:ascii="Times New Roman" w:hAnsi="Times New Roman"/>
                <w:sz w:val="24"/>
                <w:szCs w:val="24"/>
              </w:rPr>
            </w:pPr>
            <w:r>
              <w:rPr>
                <w:rFonts w:cs="Times New Roman" w:ascii="Times New Roman" w:hAnsi="Times New Roman"/>
                <w:b/>
                <w:bCs/>
                <w:sz w:val="24"/>
                <w:szCs w:val="24"/>
              </w:rPr>
              <w:t>CỘNG HÒA XÃ HỘI CHỦ NGHĨA VIỆT NAM</w:t>
              <w:br/>
              <w:t xml:space="preserve">Độc lập - Tự do - Hạnh phúc </w:t>
              <w:br/>
            </w:r>
            <w:r>
              <w:rPr>
                <w:rFonts w:cs="Times New Roman" w:ascii="Times New Roman" w:hAnsi="Times New Roman"/>
                <w:bCs/>
                <w:sz w:val="24"/>
                <w:szCs w:val="24"/>
                <w:vertAlign w:val="superscript"/>
              </w:rPr>
              <w:t>______________________</w:t>
            </w:r>
          </w:p>
          <w:p>
            <w:pPr>
              <w:pStyle w:val="Normal"/>
              <w:spacing w:before="0" w:after="160"/>
              <w:jc w:val="center"/>
              <w:rPr>
                <w:rFonts w:ascii="Times New Roman" w:hAnsi="Times New Roman"/>
                <w:sz w:val="24"/>
                <w:szCs w:val="24"/>
              </w:rPr>
            </w:pPr>
            <w:r>
              <w:rPr>
                <w:rFonts w:cs="Times New Roman" w:ascii="Times New Roman" w:hAnsi="Times New Roman"/>
                <w:i/>
                <w:iCs/>
                <w:sz w:val="24"/>
                <w:szCs w:val="24"/>
                <w:lang w:val="en-SG"/>
              </w:rPr>
              <w:t>…</w:t>
            </w:r>
            <w:r>
              <w:rPr>
                <w:rFonts w:cs="Times New Roman" w:ascii="Times New Roman" w:hAnsi="Times New Roman"/>
                <w:i/>
                <w:iCs/>
                <w:sz w:val="24"/>
                <w:szCs w:val="24"/>
                <w:lang w:val="en-SG"/>
              </w:rPr>
              <w:t>.</w:t>
            </w:r>
            <w:r>
              <w:rPr>
                <w:rFonts w:cs="Times New Roman" w:ascii="Times New Roman" w:hAnsi="Times New Roman"/>
                <w:i/>
                <w:iCs/>
                <w:sz w:val="24"/>
                <w:szCs w:val="24"/>
              </w:rPr>
              <w:t>, ngày</w:t>
            </w:r>
            <w:r>
              <w:rPr>
                <w:rFonts w:cs="Times New Roman" w:ascii="Times New Roman" w:hAnsi="Times New Roman"/>
                <w:i/>
                <w:iCs/>
                <w:sz w:val="24"/>
                <w:szCs w:val="24"/>
                <w:lang w:val="en-SG"/>
              </w:rPr>
              <w:t>….</w:t>
            </w:r>
            <w:r>
              <w:rPr>
                <w:rFonts w:cs="Times New Roman" w:ascii="Times New Roman" w:hAnsi="Times New Roman"/>
                <w:i/>
                <w:iCs/>
                <w:sz w:val="24"/>
                <w:szCs w:val="24"/>
              </w:rPr>
              <w:t>tháng</w:t>
            </w:r>
            <w:r>
              <w:rPr>
                <w:rFonts w:cs="Times New Roman" w:ascii="Times New Roman" w:hAnsi="Times New Roman"/>
                <w:i/>
                <w:iCs/>
                <w:sz w:val="24"/>
                <w:szCs w:val="24"/>
                <w:lang w:val="en-SG"/>
              </w:rPr>
              <w:t>….</w:t>
            </w:r>
            <w:r>
              <w:rPr>
                <w:rFonts w:cs="Times New Roman" w:ascii="Times New Roman" w:hAnsi="Times New Roman"/>
                <w:i/>
                <w:iCs/>
                <w:sz w:val="24"/>
                <w:szCs w:val="24"/>
              </w:rPr>
              <w:t>năm</w:t>
            </w:r>
            <w:r>
              <w:rPr>
                <w:rFonts w:cs="Times New Roman" w:ascii="Times New Roman" w:hAnsi="Times New Roman"/>
                <w:i/>
                <w:iCs/>
                <w:sz w:val="24"/>
                <w:szCs w:val="24"/>
                <w:lang w:val="en-SG"/>
              </w:rPr>
              <w:t>….</w:t>
            </w:r>
          </w:p>
        </w:tc>
      </w:tr>
    </w:tbl>
    <w:p>
      <w:pPr>
        <w:pStyle w:val="TextBody"/>
        <w:shd w:val="clear" w:color="auto" w:fill="FFFFFF"/>
        <w:spacing w:lineRule="auto" w:line="240" w:before="0" w:after="0"/>
        <w:jc w:val="center"/>
        <w:rPr>
          <w:rFonts w:eastAsia="Times New Roman" w:cs="Times New Roman"/>
          <w:b/>
          <w:b/>
          <w:bCs/>
          <w:color w:val="000000"/>
        </w:rPr>
      </w:pPr>
      <w:r>
        <w:rPr>
          <w:rFonts w:ascii="Times New Roman" w:hAnsi="Times New Roman"/>
          <w:sz w:val="24"/>
          <w:szCs w:val="24"/>
        </w:rPr>
      </w:r>
    </w:p>
    <w:p>
      <w:pPr>
        <w:pStyle w:val="Heading1"/>
        <w:jc w:val="center"/>
        <w:rPr>
          <w:rFonts w:ascii="Times New Roman" w:hAnsi="Times New Roman"/>
          <w:sz w:val="24"/>
          <w:szCs w:val="24"/>
        </w:rPr>
      </w:pPr>
      <w:r>
        <w:rPr>
          <w:rFonts w:ascii="Times New Roman" w:hAnsi="Times New Roman"/>
          <w:sz w:val="24"/>
          <w:szCs w:val="24"/>
        </w:rPr>
        <w:t>QUY CHẾ TIỀN LƯƠNG, TIỀN THƯỞNG</w:t>
      </w:r>
    </w:p>
    <w:p>
      <w:pPr>
        <w:pStyle w:val="Heading2"/>
        <w:jc w:val="center"/>
        <w:rPr>
          <w:rFonts w:ascii="Times New Roman" w:hAnsi="Times New Roman"/>
          <w:sz w:val="24"/>
          <w:szCs w:val="24"/>
        </w:rPr>
      </w:pPr>
      <w:r>
        <w:rPr>
          <w:rFonts w:ascii="Times New Roman" w:hAnsi="Times New Roman"/>
          <w:sz w:val="24"/>
          <w:szCs w:val="24"/>
        </w:rPr>
        <w:t>Áp dụng đối với Bộ phận Kinh doanh (Sales)</w:t>
      </w:r>
    </w:p>
    <w:p>
      <w:pPr>
        <w:pStyle w:val="TextBody"/>
        <w:jc w:val="center"/>
        <w:rPr>
          <w:rFonts w:ascii="Times New Roman" w:hAnsi="Times New Roman"/>
          <w:i/>
          <w:i/>
          <w:iCs/>
          <w:sz w:val="24"/>
          <w:szCs w:val="24"/>
        </w:rPr>
      </w:pPr>
      <w:r>
        <w:rPr>
          <w:rFonts w:ascii="Times New Roman" w:hAnsi="Times New Roman"/>
          <w:i/>
          <w:iCs/>
          <w:sz w:val="24"/>
          <w:szCs w:val="24"/>
        </w:rPr>
        <w:t>(Ban hành kèm theo Quyết định số ...... ngày ..... tháng ..... năm 2026 của Tổng Giám đốc/Giám đốc Công ty)</w:t>
      </w:r>
    </w:p>
    <w:p>
      <w:pPr>
        <w:pStyle w:val="Heading1"/>
        <w:rPr>
          <w:rFonts w:ascii="Times New Roman" w:hAnsi="Times New Roman"/>
          <w:sz w:val="24"/>
          <w:szCs w:val="24"/>
        </w:rPr>
      </w:pPr>
      <w:r>
        <w:rPr>
          <w:rFonts w:ascii="Times New Roman" w:hAnsi="Times New Roman"/>
          <w:sz w:val="24"/>
          <w:szCs w:val="24"/>
        </w:rPr>
        <w:t>CHƯƠNG I</w:t>
      </w:r>
    </w:p>
    <w:p>
      <w:pPr>
        <w:pStyle w:val="Heading2"/>
        <w:rPr>
          <w:rFonts w:ascii="Times New Roman" w:hAnsi="Times New Roman"/>
          <w:sz w:val="24"/>
          <w:szCs w:val="24"/>
        </w:rPr>
      </w:pPr>
      <w:r>
        <w:rPr>
          <w:rFonts w:ascii="Times New Roman" w:hAnsi="Times New Roman"/>
          <w:sz w:val="24"/>
          <w:szCs w:val="24"/>
        </w:rPr>
        <w:t>QUY ĐỊNH CHUNG</w:t>
      </w:r>
    </w:p>
    <w:p>
      <w:pPr>
        <w:pStyle w:val="Heading3"/>
        <w:rPr>
          <w:rFonts w:ascii="Times New Roman" w:hAnsi="Times New Roman"/>
          <w:sz w:val="24"/>
          <w:szCs w:val="24"/>
        </w:rPr>
      </w:pPr>
      <w:r>
        <w:rPr>
          <w:rFonts w:ascii="Times New Roman" w:hAnsi="Times New Roman"/>
          <w:sz w:val="24"/>
          <w:szCs w:val="24"/>
        </w:rPr>
        <w:t>Điều 1. Mục đích</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Tạo động lực làm việc và nâng cao hiệu quả kinh doanh.</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Đảm bảo công bằng, minh bạch trong việc trả lương và thưởng.</w:t>
      </w:r>
    </w:p>
    <w:p>
      <w:pPr>
        <w:pStyle w:val="TextBody"/>
        <w:numPr>
          <w:ilvl w:val="0"/>
          <w:numId w:val="1"/>
        </w:numPr>
        <w:tabs>
          <w:tab w:val="left" w:pos="0" w:leader="none"/>
        </w:tabs>
        <w:ind w:left="707" w:hanging="283"/>
        <w:rPr>
          <w:rFonts w:ascii="Times New Roman" w:hAnsi="Times New Roman"/>
          <w:sz w:val="24"/>
          <w:szCs w:val="24"/>
        </w:rPr>
      </w:pPr>
      <w:r>
        <w:rPr>
          <w:rFonts w:ascii="Times New Roman" w:hAnsi="Times New Roman"/>
          <w:sz w:val="24"/>
          <w:szCs w:val="24"/>
        </w:rPr>
        <w:t>Gắn thu nhập của nhân viên Sales với kết quả thực hiện công việc và doanh số bán hàng.</w:t>
      </w:r>
    </w:p>
    <w:p>
      <w:pPr>
        <w:pStyle w:val="Heading3"/>
        <w:rPr>
          <w:rFonts w:ascii="Times New Roman" w:hAnsi="Times New Roman"/>
          <w:sz w:val="24"/>
          <w:szCs w:val="24"/>
        </w:rPr>
      </w:pPr>
      <w:r>
        <w:rPr>
          <w:rFonts w:ascii="Times New Roman" w:hAnsi="Times New Roman"/>
          <w:sz w:val="24"/>
          <w:szCs w:val="24"/>
        </w:rPr>
        <w:t>Điều 2. Đối tượng áp dụng</w:t>
      </w:r>
    </w:p>
    <w:p>
      <w:pPr>
        <w:pStyle w:val="TextBody"/>
        <w:rPr>
          <w:rFonts w:ascii="Times New Roman" w:hAnsi="Times New Roman"/>
          <w:sz w:val="24"/>
          <w:szCs w:val="24"/>
        </w:rPr>
      </w:pPr>
      <w:r>
        <w:rPr>
          <w:rFonts w:ascii="Times New Roman" w:hAnsi="Times New Roman"/>
          <w:sz w:val="24"/>
          <w:szCs w:val="24"/>
        </w:rPr>
        <w:t>Quy chế này áp dụng đối với:</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Trưởng phòng Kinh doanh.</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Giám sát kinh doanh.</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Nhân viên kinh doanh (Sales Executive).</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Nhân viên phát triển thị trường.</w:t>
      </w:r>
    </w:p>
    <w:p>
      <w:pPr>
        <w:pStyle w:val="TextBody"/>
        <w:numPr>
          <w:ilvl w:val="0"/>
          <w:numId w:val="2"/>
        </w:numPr>
        <w:tabs>
          <w:tab w:val="left" w:pos="0" w:leader="none"/>
        </w:tabs>
        <w:ind w:left="707" w:hanging="283"/>
        <w:rPr>
          <w:rFonts w:ascii="Times New Roman" w:hAnsi="Times New Roman"/>
          <w:sz w:val="24"/>
          <w:szCs w:val="24"/>
        </w:rPr>
      </w:pPr>
      <w:r>
        <w:rPr>
          <w:rFonts w:ascii="Times New Roman" w:hAnsi="Times New Roman"/>
          <w:sz w:val="24"/>
          <w:szCs w:val="24"/>
        </w:rPr>
        <w:t>Các chức danh kinh doanh khác theo quyết định của Công ty.</w:t>
      </w:r>
    </w:p>
    <w:p>
      <w:pPr>
        <w:pStyle w:val="Heading1"/>
        <w:rPr>
          <w:rFonts w:ascii="Times New Roman" w:hAnsi="Times New Roman"/>
          <w:sz w:val="24"/>
          <w:szCs w:val="24"/>
        </w:rPr>
      </w:pPr>
      <w:r>
        <w:rPr>
          <w:rFonts w:ascii="Times New Roman" w:hAnsi="Times New Roman"/>
          <w:sz w:val="24"/>
          <w:szCs w:val="24"/>
        </w:rPr>
        <w:t>CHƯƠNG II</w:t>
      </w:r>
    </w:p>
    <w:p>
      <w:pPr>
        <w:pStyle w:val="Heading2"/>
        <w:rPr>
          <w:rFonts w:ascii="Times New Roman" w:hAnsi="Times New Roman"/>
          <w:sz w:val="24"/>
          <w:szCs w:val="24"/>
        </w:rPr>
      </w:pPr>
      <w:r>
        <w:rPr>
          <w:rFonts w:ascii="Times New Roman" w:hAnsi="Times New Roman"/>
          <w:sz w:val="24"/>
          <w:szCs w:val="24"/>
        </w:rPr>
        <w:t>CƠ CẤU THU NHẬP</w:t>
      </w:r>
    </w:p>
    <w:p>
      <w:pPr>
        <w:pStyle w:val="Heading3"/>
        <w:rPr>
          <w:rFonts w:ascii="Times New Roman" w:hAnsi="Times New Roman"/>
          <w:sz w:val="24"/>
          <w:szCs w:val="24"/>
        </w:rPr>
      </w:pPr>
      <w:r>
        <w:rPr>
          <w:rFonts w:ascii="Times New Roman" w:hAnsi="Times New Roman"/>
          <w:sz w:val="24"/>
          <w:szCs w:val="24"/>
        </w:rPr>
        <w:t>Điều 3. Cơ cấu thu nhập</w:t>
      </w:r>
    </w:p>
    <w:p>
      <w:pPr>
        <w:pStyle w:val="TextBody"/>
        <w:rPr>
          <w:rFonts w:ascii="Times New Roman" w:hAnsi="Times New Roman"/>
          <w:sz w:val="24"/>
          <w:szCs w:val="24"/>
        </w:rPr>
      </w:pPr>
      <w:r>
        <w:rPr>
          <w:rFonts w:ascii="Times New Roman" w:hAnsi="Times New Roman"/>
          <w:sz w:val="24"/>
          <w:szCs w:val="24"/>
        </w:rPr>
        <w:t>Tổng thu nhập hàng tháng của nhân viên Sales bao gồm:</w:t>
      </w:r>
    </w:p>
    <w:p>
      <w:pPr>
        <w:pStyle w:val="TextBody"/>
        <w:rPr/>
      </w:pPr>
      <w:r>
        <w:rPr>
          <w:rStyle w:val="StrongEmphasis"/>
          <w:rFonts w:ascii="Times New Roman" w:hAnsi="Times New Roman"/>
          <w:sz w:val="24"/>
          <w:szCs w:val="24"/>
        </w:rPr>
        <w:t>Tổng thu nhập = Lương cơ bản + Phụ cấp + Thưởng KPI + Hoa hồng doanh số + Thưởng khác (nếu có)</w:t>
      </w:r>
    </w:p>
    <w:p>
      <w:pPr>
        <w:pStyle w:val="Heading3"/>
        <w:rPr>
          <w:rFonts w:ascii="Times New Roman" w:hAnsi="Times New Roman"/>
          <w:sz w:val="24"/>
          <w:szCs w:val="24"/>
        </w:rPr>
      </w:pPr>
      <w:r>
        <w:rPr>
          <w:rFonts w:ascii="Times New Roman" w:hAnsi="Times New Roman"/>
          <w:sz w:val="24"/>
          <w:szCs w:val="24"/>
        </w:rPr>
        <w:t>Điều 4. Lương cơ bản</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Lương cơ bản được xác định theo hợp đồng lao động.</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Mức lương được xem xét điều chỉnh định kỳ hoặc theo kết quả đánh giá năng lực.</w:t>
      </w:r>
    </w:p>
    <w:p>
      <w:pPr>
        <w:pStyle w:val="TextBody"/>
        <w:numPr>
          <w:ilvl w:val="0"/>
          <w:numId w:val="3"/>
        </w:numPr>
        <w:tabs>
          <w:tab w:val="left" w:pos="0" w:leader="none"/>
        </w:tabs>
        <w:ind w:left="707" w:hanging="283"/>
        <w:rPr>
          <w:rFonts w:ascii="Times New Roman" w:hAnsi="Times New Roman"/>
          <w:sz w:val="24"/>
          <w:szCs w:val="24"/>
        </w:rPr>
      </w:pPr>
      <w:r>
        <w:rPr>
          <w:rFonts w:ascii="Times New Roman" w:hAnsi="Times New Roman"/>
          <w:sz w:val="24"/>
          <w:szCs w:val="24"/>
        </w:rPr>
        <w:t>Lương cơ bản là căn cứ đóng các loại bảo hiểm theo quy định của pháp luật và chính sách của Công ty.</w:t>
      </w:r>
    </w:p>
    <w:p>
      <w:pPr>
        <w:pStyle w:val="Heading3"/>
        <w:rPr>
          <w:rFonts w:ascii="Times New Roman" w:hAnsi="Times New Roman"/>
          <w:sz w:val="24"/>
          <w:szCs w:val="24"/>
        </w:rPr>
      </w:pPr>
      <w:r>
        <w:rPr>
          <w:rFonts w:ascii="Times New Roman" w:hAnsi="Times New Roman"/>
          <w:sz w:val="24"/>
          <w:szCs w:val="24"/>
        </w:rPr>
        <w:t>Điều 5. Phụ cấp</w:t>
      </w:r>
    </w:p>
    <w:p>
      <w:pPr>
        <w:pStyle w:val="TextBody"/>
        <w:rPr>
          <w:rFonts w:ascii="Times New Roman" w:hAnsi="Times New Roman"/>
          <w:sz w:val="24"/>
          <w:szCs w:val="24"/>
        </w:rPr>
      </w:pPr>
      <w:r>
        <w:rPr>
          <w:rFonts w:ascii="Times New Roman" w:hAnsi="Times New Roman"/>
          <w:sz w:val="24"/>
          <w:szCs w:val="24"/>
        </w:rPr>
        <w:t>Các khoản phụ cấp có thể bao gồm:</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Phụ cấp điện thoại.</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Phụ cấp xăng xe.</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Phụ cấp công tác.</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Phụ cấp trách nhiệm.</w:t>
      </w:r>
    </w:p>
    <w:p>
      <w:pPr>
        <w:pStyle w:val="TextBody"/>
        <w:numPr>
          <w:ilvl w:val="0"/>
          <w:numId w:val="4"/>
        </w:numPr>
        <w:tabs>
          <w:tab w:val="left" w:pos="0" w:leader="none"/>
        </w:tabs>
        <w:ind w:left="707" w:hanging="283"/>
        <w:rPr>
          <w:rFonts w:ascii="Times New Roman" w:hAnsi="Times New Roman"/>
          <w:sz w:val="24"/>
          <w:szCs w:val="24"/>
        </w:rPr>
      </w:pPr>
      <w:r>
        <w:rPr>
          <w:rFonts w:ascii="Times New Roman" w:hAnsi="Times New Roman"/>
          <w:sz w:val="24"/>
          <w:szCs w:val="24"/>
        </w:rPr>
        <w:t>Các khoản phụ cấp khác theo quy định của Công ty.</w:t>
      </w:r>
    </w:p>
    <w:p>
      <w:pPr>
        <w:pStyle w:val="Heading1"/>
        <w:rPr>
          <w:rFonts w:ascii="Times New Roman" w:hAnsi="Times New Roman"/>
          <w:sz w:val="24"/>
          <w:szCs w:val="24"/>
        </w:rPr>
      </w:pPr>
      <w:r>
        <w:rPr>
          <w:rFonts w:ascii="Times New Roman" w:hAnsi="Times New Roman"/>
          <w:sz w:val="24"/>
          <w:szCs w:val="24"/>
        </w:rPr>
        <w:t>CHƯƠNG III</w:t>
      </w:r>
    </w:p>
    <w:p>
      <w:pPr>
        <w:pStyle w:val="Heading2"/>
        <w:rPr>
          <w:rFonts w:ascii="Times New Roman" w:hAnsi="Times New Roman"/>
          <w:sz w:val="24"/>
          <w:szCs w:val="24"/>
        </w:rPr>
      </w:pPr>
      <w:r>
        <w:rPr>
          <w:rFonts w:ascii="Times New Roman" w:hAnsi="Times New Roman"/>
          <w:sz w:val="24"/>
          <w:szCs w:val="24"/>
        </w:rPr>
        <w:t>KPI VÀ THƯỞNG HIỆU QUẢ CÔNG VIỆC</w:t>
      </w:r>
    </w:p>
    <w:p>
      <w:pPr>
        <w:pStyle w:val="Heading3"/>
        <w:rPr>
          <w:rFonts w:ascii="Times New Roman" w:hAnsi="Times New Roman"/>
          <w:sz w:val="24"/>
          <w:szCs w:val="24"/>
        </w:rPr>
      </w:pPr>
      <w:r>
        <w:rPr>
          <w:rFonts w:ascii="Times New Roman" w:hAnsi="Times New Roman"/>
          <w:sz w:val="24"/>
          <w:szCs w:val="24"/>
        </w:rPr>
        <w:t>Điều 6. Chỉ tiêu KPI</w:t>
      </w:r>
    </w:p>
    <w:p>
      <w:pPr>
        <w:pStyle w:val="TextBody"/>
        <w:rPr>
          <w:rFonts w:ascii="Times New Roman" w:hAnsi="Times New Roman"/>
          <w:sz w:val="24"/>
          <w:szCs w:val="24"/>
        </w:rPr>
      </w:pPr>
      <w:r>
        <w:rPr>
          <w:rFonts w:ascii="Times New Roman" w:hAnsi="Times New Roman"/>
          <w:sz w:val="24"/>
          <w:szCs w:val="24"/>
        </w:rPr>
        <w:t>KPI được xây dựng theo từng vị trí và có thể bao gồm:</w:t>
      </w:r>
    </w:p>
    <w:tbl>
      <w:tblPr>
        <w:tblW w:w="3658" w:type="dxa"/>
        <w:jc w:val="left"/>
        <w:tblInd w:w="0" w:type="dxa"/>
        <w:tblBorders/>
        <w:tblCellMar>
          <w:top w:w="28" w:type="dxa"/>
          <w:left w:w="28" w:type="dxa"/>
          <w:bottom w:w="28" w:type="dxa"/>
          <w:right w:w="28" w:type="dxa"/>
        </w:tblCellMar>
      </w:tblPr>
      <w:tblGrid>
        <w:gridCol w:w="2757"/>
        <w:gridCol w:w="901"/>
      </w:tblGrid>
      <w:tr>
        <w:trPr/>
        <w:tc>
          <w:tcPr>
            <w:tcW w:w="2757"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Tiêu chí</w:t>
            </w:r>
          </w:p>
        </w:tc>
        <w:tc>
          <w:tcPr>
            <w:tcW w:w="901"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Tỷ trọng</w:t>
            </w:r>
          </w:p>
        </w:tc>
      </w:tr>
      <w:tr>
        <w:trPr/>
        <w:tc>
          <w:tcPr>
            <w:tcW w:w="275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Doanh số thực hiện</w:t>
            </w:r>
          </w:p>
        </w:tc>
        <w:tc>
          <w:tcPr>
            <w:tcW w:w="90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50%</w:t>
            </w:r>
          </w:p>
        </w:tc>
      </w:tr>
      <w:tr>
        <w:trPr/>
        <w:tc>
          <w:tcPr>
            <w:tcW w:w="275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Khách hàng mới</w:t>
            </w:r>
          </w:p>
        </w:tc>
        <w:tc>
          <w:tcPr>
            <w:tcW w:w="90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20%</w:t>
            </w:r>
          </w:p>
        </w:tc>
      </w:tr>
      <w:tr>
        <w:trPr/>
        <w:tc>
          <w:tcPr>
            <w:tcW w:w="275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Tỷ lệ chốt đơn</w:t>
            </w:r>
          </w:p>
        </w:tc>
        <w:tc>
          <w:tcPr>
            <w:tcW w:w="90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10%</w:t>
            </w:r>
          </w:p>
        </w:tc>
      </w:tr>
      <w:tr>
        <w:trPr/>
        <w:tc>
          <w:tcPr>
            <w:tcW w:w="275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Công nợ thu hồi</w:t>
            </w:r>
          </w:p>
        </w:tc>
        <w:tc>
          <w:tcPr>
            <w:tcW w:w="90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10%</w:t>
            </w:r>
          </w:p>
        </w:tc>
      </w:tr>
      <w:tr>
        <w:trPr/>
        <w:tc>
          <w:tcPr>
            <w:tcW w:w="275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Báo cáo và tuân thủ quy trình</w:t>
            </w:r>
          </w:p>
        </w:tc>
        <w:tc>
          <w:tcPr>
            <w:tcW w:w="90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10%</w:t>
            </w:r>
          </w:p>
        </w:tc>
      </w:tr>
    </w:tbl>
    <w:p>
      <w:pPr>
        <w:pStyle w:val="TextBody"/>
        <w:rPr>
          <w:rFonts w:ascii="Times New Roman" w:hAnsi="Times New Roman"/>
          <w:sz w:val="24"/>
          <w:szCs w:val="24"/>
        </w:rPr>
      </w:pPr>
      <w:r>
        <w:rPr>
          <w:rFonts w:ascii="Times New Roman" w:hAnsi="Times New Roman"/>
          <w:sz w:val="24"/>
          <w:szCs w:val="24"/>
        </w:rPr>
        <w:t>Tổng trọng số: 100%.</w:t>
      </w:r>
    </w:p>
    <w:p>
      <w:pPr>
        <w:pStyle w:val="Heading3"/>
        <w:rPr>
          <w:rFonts w:ascii="Times New Roman" w:hAnsi="Times New Roman"/>
          <w:sz w:val="24"/>
          <w:szCs w:val="24"/>
        </w:rPr>
      </w:pPr>
      <w:r>
        <w:rPr>
          <w:rFonts w:ascii="Times New Roman" w:hAnsi="Times New Roman"/>
          <w:sz w:val="24"/>
          <w:szCs w:val="24"/>
        </w:rPr>
        <w:t>Điều 7. Mức thưởng KPI</w:t>
      </w:r>
    </w:p>
    <w:tbl>
      <w:tblPr>
        <w:tblW w:w="5145" w:type="dxa"/>
        <w:jc w:val="left"/>
        <w:tblInd w:w="0" w:type="dxa"/>
        <w:tblBorders/>
        <w:tblCellMar>
          <w:top w:w="28" w:type="dxa"/>
          <w:left w:w="28" w:type="dxa"/>
          <w:bottom w:w="28" w:type="dxa"/>
          <w:right w:w="28" w:type="dxa"/>
        </w:tblCellMar>
      </w:tblPr>
      <w:tblGrid>
        <w:gridCol w:w="2350"/>
        <w:gridCol w:w="2795"/>
      </w:tblGrid>
      <w:tr>
        <w:trPr/>
        <w:tc>
          <w:tcPr>
            <w:tcW w:w="2350"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Kết quả KPI</w:t>
            </w:r>
          </w:p>
        </w:tc>
        <w:tc>
          <w:tcPr>
            <w:tcW w:w="27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Mức thưởng</w:t>
            </w:r>
          </w:p>
        </w:tc>
      </w:tr>
      <w:tr>
        <w:trPr/>
        <w:tc>
          <w:tcPr>
            <w:tcW w:w="2350"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Dưới 80%</w:t>
            </w:r>
          </w:p>
        </w:tc>
        <w:tc>
          <w:tcPr>
            <w:tcW w:w="27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Không thưởng</w:t>
            </w:r>
          </w:p>
        </w:tc>
      </w:tr>
      <w:tr>
        <w:trPr/>
        <w:tc>
          <w:tcPr>
            <w:tcW w:w="2350"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Từ 80% đến dưới 90%</w:t>
            </w:r>
          </w:p>
        </w:tc>
        <w:tc>
          <w:tcPr>
            <w:tcW w:w="27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50% quỹ thưởng KPI</w:t>
            </w:r>
          </w:p>
        </w:tc>
      </w:tr>
      <w:tr>
        <w:trPr/>
        <w:tc>
          <w:tcPr>
            <w:tcW w:w="2350"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Từ 90% đến dưới 100%</w:t>
            </w:r>
          </w:p>
        </w:tc>
        <w:tc>
          <w:tcPr>
            <w:tcW w:w="27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80% quỹ thưởng KPI</w:t>
            </w:r>
          </w:p>
        </w:tc>
      </w:tr>
      <w:tr>
        <w:trPr/>
        <w:tc>
          <w:tcPr>
            <w:tcW w:w="2350"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Từ 100% đến dưới 120%</w:t>
            </w:r>
          </w:p>
        </w:tc>
        <w:tc>
          <w:tcPr>
            <w:tcW w:w="27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100% quỹ thưởng KPI</w:t>
            </w:r>
          </w:p>
        </w:tc>
      </w:tr>
      <w:tr>
        <w:trPr/>
        <w:tc>
          <w:tcPr>
            <w:tcW w:w="2350"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Từ 120% trở lên</w:t>
            </w:r>
          </w:p>
        </w:tc>
        <w:tc>
          <w:tcPr>
            <w:tcW w:w="27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120% - 150% quỹ thưởng KPI</w:t>
            </w:r>
          </w:p>
        </w:tc>
      </w:tr>
    </w:tbl>
    <w:p>
      <w:pPr>
        <w:pStyle w:val="TextBody"/>
        <w:rPr>
          <w:rFonts w:ascii="Times New Roman" w:hAnsi="Times New Roman"/>
          <w:sz w:val="24"/>
          <w:szCs w:val="24"/>
        </w:rPr>
      </w:pPr>
      <w:r>
        <w:rPr>
          <w:rFonts w:ascii="Times New Roman" w:hAnsi="Times New Roman"/>
          <w:sz w:val="24"/>
          <w:szCs w:val="24"/>
        </w:rPr>
        <w:t>Mức thưởng cụ thể do Ban Giám đốc quyết định theo từng thời kỳ.</w:t>
      </w:r>
    </w:p>
    <w:p>
      <w:pPr>
        <w:pStyle w:val="Heading1"/>
        <w:rPr>
          <w:rFonts w:ascii="Times New Roman" w:hAnsi="Times New Roman"/>
          <w:sz w:val="24"/>
          <w:szCs w:val="24"/>
        </w:rPr>
      </w:pPr>
      <w:r>
        <w:rPr>
          <w:rFonts w:ascii="Times New Roman" w:hAnsi="Times New Roman"/>
          <w:sz w:val="24"/>
          <w:szCs w:val="24"/>
        </w:rPr>
        <w:t>CHƯƠNG IV</w:t>
      </w:r>
    </w:p>
    <w:p>
      <w:pPr>
        <w:pStyle w:val="Heading2"/>
        <w:rPr>
          <w:rFonts w:ascii="Times New Roman" w:hAnsi="Times New Roman"/>
          <w:sz w:val="24"/>
          <w:szCs w:val="24"/>
        </w:rPr>
      </w:pPr>
      <w:r>
        <w:rPr>
          <w:rFonts w:ascii="Times New Roman" w:hAnsi="Times New Roman"/>
          <w:sz w:val="24"/>
          <w:szCs w:val="24"/>
        </w:rPr>
        <w:t>HOA HỒNG DOANH SỐ</w:t>
      </w:r>
    </w:p>
    <w:p>
      <w:pPr>
        <w:pStyle w:val="Heading3"/>
        <w:rPr>
          <w:rFonts w:ascii="Times New Roman" w:hAnsi="Times New Roman"/>
          <w:sz w:val="24"/>
          <w:szCs w:val="24"/>
        </w:rPr>
      </w:pPr>
      <w:r>
        <w:rPr>
          <w:rFonts w:ascii="Times New Roman" w:hAnsi="Times New Roman"/>
          <w:sz w:val="24"/>
          <w:szCs w:val="24"/>
        </w:rPr>
        <w:t>Điều 8. Nguyên tắc tính hoa hồng</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Hoa hồng được tính trên doanh thu thực thu hoặc doanh thu được Công ty xác nhận hoàn tất.</w:t>
      </w:r>
    </w:p>
    <w:p>
      <w:pPr>
        <w:pStyle w:val="TextBody"/>
        <w:numPr>
          <w:ilvl w:val="0"/>
          <w:numId w:val="5"/>
        </w:numPr>
        <w:tabs>
          <w:tab w:val="left" w:pos="0" w:leader="none"/>
        </w:tabs>
        <w:ind w:left="707" w:hanging="283"/>
        <w:rPr>
          <w:rFonts w:ascii="Times New Roman" w:hAnsi="Times New Roman"/>
          <w:sz w:val="24"/>
          <w:szCs w:val="24"/>
        </w:rPr>
      </w:pPr>
      <w:r>
        <w:rPr>
          <w:rFonts w:ascii="Times New Roman" w:hAnsi="Times New Roman"/>
          <w:sz w:val="24"/>
          <w:szCs w:val="24"/>
        </w:rPr>
        <w:t>Chỉ áp dụng đối với các đơn hàng không phát sinh tranh chấp, hủy đơn hoặc nợ quá hạn.</w:t>
      </w:r>
    </w:p>
    <w:p>
      <w:pPr>
        <w:pStyle w:val="Heading3"/>
        <w:rPr>
          <w:rFonts w:ascii="Times New Roman" w:hAnsi="Times New Roman"/>
          <w:sz w:val="24"/>
          <w:szCs w:val="24"/>
        </w:rPr>
      </w:pPr>
      <w:r>
        <w:rPr>
          <w:rFonts w:ascii="Times New Roman" w:hAnsi="Times New Roman"/>
          <w:sz w:val="24"/>
          <w:szCs w:val="24"/>
        </w:rPr>
        <w:t>Điều 9. Tỷ lệ hoa hồng tham khảo</w:t>
      </w:r>
    </w:p>
    <w:tbl>
      <w:tblPr>
        <w:tblW w:w="4426" w:type="dxa"/>
        <w:jc w:val="left"/>
        <w:tblInd w:w="0" w:type="dxa"/>
        <w:tblBorders/>
        <w:tblCellMar>
          <w:top w:w="28" w:type="dxa"/>
          <w:left w:w="28" w:type="dxa"/>
          <w:bottom w:w="28" w:type="dxa"/>
          <w:right w:w="28" w:type="dxa"/>
        </w:tblCellMar>
      </w:tblPr>
      <w:tblGrid>
        <w:gridCol w:w="2981"/>
        <w:gridCol w:w="1445"/>
      </w:tblGrid>
      <w:tr>
        <w:trPr/>
        <w:tc>
          <w:tcPr>
            <w:tcW w:w="298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Doanh số đạt được/tháng</w:t>
            </w:r>
          </w:p>
        </w:tc>
        <w:tc>
          <w:tcPr>
            <w:tcW w:w="144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Tỷ lệ hoa hồng</w:t>
            </w:r>
          </w:p>
        </w:tc>
      </w:tr>
      <w:tr>
        <w:trPr/>
        <w:tc>
          <w:tcPr>
            <w:tcW w:w="298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Dưới 500 triệu đồng</w:t>
            </w:r>
          </w:p>
        </w:tc>
        <w:tc>
          <w:tcPr>
            <w:tcW w:w="144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1,0%</w:t>
            </w:r>
          </w:p>
        </w:tc>
      </w:tr>
      <w:tr>
        <w:trPr/>
        <w:tc>
          <w:tcPr>
            <w:tcW w:w="298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Từ 500 triệu đến dưới 1 tỷ đồng</w:t>
            </w:r>
          </w:p>
        </w:tc>
        <w:tc>
          <w:tcPr>
            <w:tcW w:w="144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1,5%</w:t>
            </w:r>
          </w:p>
        </w:tc>
      </w:tr>
      <w:tr>
        <w:trPr/>
        <w:tc>
          <w:tcPr>
            <w:tcW w:w="298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Từ 1 tỷ đến dưới 2 tỷ đồng</w:t>
            </w:r>
          </w:p>
        </w:tc>
        <w:tc>
          <w:tcPr>
            <w:tcW w:w="144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2,0%</w:t>
            </w:r>
          </w:p>
        </w:tc>
      </w:tr>
      <w:tr>
        <w:trPr/>
        <w:tc>
          <w:tcPr>
            <w:tcW w:w="298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Từ 2 tỷ đồng trở lên</w:t>
            </w:r>
          </w:p>
        </w:tc>
        <w:tc>
          <w:tcPr>
            <w:tcW w:w="144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2,5%</w:t>
            </w:r>
          </w:p>
        </w:tc>
      </w:tr>
    </w:tbl>
    <w:p>
      <w:pPr>
        <w:pStyle w:val="TextBody"/>
        <w:rPr>
          <w:rFonts w:ascii="Times New Roman" w:hAnsi="Times New Roman"/>
          <w:sz w:val="24"/>
          <w:szCs w:val="24"/>
        </w:rPr>
      </w:pPr>
      <w:r>
        <w:rPr>
          <w:rFonts w:ascii="Times New Roman" w:hAnsi="Times New Roman"/>
          <w:sz w:val="24"/>
          <w:szCs w:val="24"/>
        </w:rPr>
        <w:t>Công ty có quyền điều chỉnh tỷ lệ hoa hồng theo ngành hàng, khu vực hoặc chiến lược kinh doanh từng giai đoạn.</w:t>
      </w:r>
    </w:p>
    <w:p>
      <w:pPr>
        <w:pStyle w:val="Heading1"/>
        <w:rPr>
          <w:rFonts w:ascii="Times New Roman" w:hAnsi="Times New Roman"/>
          <w:sz w:val="24"/>
          <w:szCs w:val="24"/>
        </w:rPr>
      </w:pPr>
      <w:r>
        <w:rPr>
          <w:rFonts w:ascii="Times New Roman" w:hAnsi="Times New Roman"/>
          <w:sz w:val="24"/>
          <w:szCs w:val="24"/>
        </w:rPr>
        <w:t>CHƯƠNG V</w:t>
      </w:r>
    </w:p>
    <w:p>
      <w:pPr>
        <w:pStyle w:val="Heading2"/>
        <w:rPr>
          <w:rFonts w:ascii="Times New Roman" w:hAnsi="Times New Roman"/>
          <w:sz w:val="24"/>
          <w:szCs w:val="24"/>
        </w:rPr>
      </w:pPr>
      <w:r>
        <w:rPr>
          <w:rFonts w:ascii="Times New Roman" w:hAnsi="Times New Roman"/>
          <w:sz w:val="24"/>
          <w:szCs w:val="24"/>
        </w:rPr>
        <w:t>THƯỞNG ĐỊNH KỲ VÀ THƯỞNG ĐỘT XUẤT</w:t>
      </w:r>
    </w:p>
    <w:p>
      <w:pPr>
        <w:pStyle w:val="Heading3"/>
        <w:rPr>
          <w:rFonts w:ascii="Times New Roman" w:hAnsi="Times New Roman"/>
          <w:sz w:val="24"/>
          <w:szCs w:val="24"/>
        </w:rPr>
      </w:pPr>
      <w:r>
        <w:rPr>
          <w:rFonts w:ascii="Times New Roman" w:hAnsi="Times New Roman"/>
          <w:sz w:val="24"/>
          <w:szCs w:val="24"/>
        </w:rPr>
        <w:t>Điều 10. Thưởng tháng</w:t>
      </w:r>
    </w:p>
    <w:p>
      <w:pPr>
        <w:pStyle w:val="TextBody"/>
        <w:rPr>
          <w:rFonts w:ascii="Times New Roman" w:hAnsi="Times New Roman"/>
          <w:sz w:val="24"/>
          <w:szCs w:val="24"/>
        </w:rPr>
      </w:pPr>
      <w:r>
        <w:rPr>
          <w:rFonts w:ascii="Times New Roman" w:hAnsi="Times New Roman"/>
          <w:sz w:val="24"/>
          <w:szCs w:val="24"/>
        </w:rPr>
        <w:t>Căn cứ kết quả KPI và doanh số đạt được trong tháng.</w:t>
      </w:r>
    </w:p>
    <w:p>
      <w:pPr>
        <w:pStyle w:val="Heading3"/>
        <w:rPr>
          <w:rFonts w:ascii="Times New Roman" w:hAnsi="Times New Roman"/>
          <w:sz w:val="24"/>
          <w:szCs w:val="24"/>
        </w:rPr>
      </w:pPr>
      <w:r>
        <w:rPr>
          <w:rFonts w:ascii="Times New Roman" w:hAnsi="Times New Roman"/>
          <w:sz w:val="24"/>
          <w:szCs w:val="24"/>
        </w:rPr>
        <w:t>Điều 11. Thưởng quý</w:t>
      </w:r>
    </w:p>
    <w:p>
      <w:pPr>
        <w:pStyle w:val="TextBody"/>
        <w:rPr>
          <w:rFonts w:ascii="Times New Roman" w:hAnsi="Times New Roman"/>
          <w:sz w:val="24"/>
          <w:szCs w:val="24"/>
        </w:rPr>
      </w:pPr>
      <w:r>
        <w:rPr>
          <w:rFonts w:ascii="Times New Roman" w:hAnsi="Times New Roman"/>
          <w:sz w:val="24"/>
          <w:szCs w:val="24"/>
        </w:rPr>
        <w:t>Áp dụng cho cá nhân hoặc tập thể hoàn thành vượt chỉ tiêu kinh doanh quý.</w:t>
      </w:r>
    </w:p>
    <w:p>
      <w:pPr>
        <w:pStyle w:val="Heading3"/>
        <w:rPr>
          <w:rFonts w:ascii="Times New Roman" w:hAnsi="Times New Roman"/>
          <w:sz w:val="24"/>
          <w:szCs w:val="24"/>
        </w:rPr>
      </w:pPr>
      <w:r>
        <w:rPr>
          <w:rFonts w:ascii="Times New Roman" w:hAnsi="Times New Roman"/>
          <w:sz w:val="24"/>
          <w:szCs w:val="24"/>
        </w:rPr>
        <w:t>Điều 12. Thưởng năm</w:t>
      </w:r>
    </w:p>
    <w:p>
      <w:pPr>
        <w:pStyle w:val="TextBody"/>
        <w:rPr>
          <w:rFonts w:ascii="Times New Roman" w:hAnsi="Times New Roman"/>
          <w:sz w:val="24"/>
          <w:szCs w:val="24"/>
        </w:rPr>
      </w:pPr>
      <w:r>
        <w:rPr>
          <w:rFonts w:ascii="Times New Roman" w:hAnsi="Times New Roman"/>
          <w:sz w:val="24"/>
          <w:szCs w:val="24"/>
        </w:rPr>
        <w:t>Căn cứ:</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Kết quả kinh doanh của Công ty.</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Kết quả thực hiện KPI cả năm.</w:t>
      </w:r>
    </w:p>
    <w:p>
      <w:pPr>
        <w:pStyle w:val="TextBody"/>
        <w:numPr>
          <w:ilvl w:val="0"/>
          <w:numId w:val="6"/>
        </w:numPr>
        <w:tabs>
          <w:tab w:val="left" w:pos="0" w:leader="none"/>
        </w:tabs>
        <w:ind w:left="707" w:hanging="283"/>
        <w:rPr>
          <w:rFonts w:ascii="Times New Roman" w:hAnsi="Times New Roman"/>
          <w:sz w:val="24"/>
          <w:szCs w:val="24"/>
        </w:rPr>
      </w:pPr>
      <w:r>
        <w:rPr>
          <w:rFonts w:ascii="Times New Roman" w:hAnsi="Times New Roman"/>
          <w:sz w:val="24"/>
          <w:szCs w:val="24"/>
        </w:rPr>
        <w:t>Mức độ đóng góp của từng cá nhân.</w:t>
      </w:r>
    </w:p>
    <w:p>
      <w:pPr>
        <w:pStyle w:val="Heading3"/>
        <w:rPr>
          <w:rFonts w:ascii="Times New Roman" w:hAnsi="Times New Roman"/>
          <w:sz w:val="24"/>
          <w:szCs w:val="24"/>
        </w:rPr>
      </w:pPr>
      <w:r>
        <w:rPr>
          <w:rFonts w:ascii="Times New Roman" w:hAnsi="Times New Roman"/>
          <w:sz w:val="24"/>
          <w:szCs w:val="24"/>
        </w:rPr>
        <w:t>Điều 13. Thưởng đột xuất</w:t>
      </w:r>
    </w:p>
    <w:p>
      <w:pPr>
        <w:pStyle w:val="TextBody"/>
        <w:rPr>
          <w:rFonts w:ascii="Times New Roman" w:hAnsi="Times New Roman"/>
          <w:sz w:val="24"/>
          <w:szCs w:val="24"/>
        </w:rPr>
      </w:pPr>
      <w:r>
        <w:rPr>
          <w:rFonts w:ascii="Times New Roman" w:hAnsi="Times New Roman"/>
          <w:sz w:val="24"/>
          <w:szCs w:val="24"/>
        </w:rPr>
        <w:t>Áp dụng đối với các trường hợp:</w:t>
      </w:r>
    </w:p>
    <w:p>
      <w:pPr>
        <w:pStyle w:val="TextBody"/>
        <w:numPr>
          <w:ilvl w:val="0"/>
          <w:numId w:val="7"/>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Ký kết hợp đồng lớn.</w:t>
      </w:r>
    </w:p>
    <w:p>
      <w:pPr>
        <w:pStyle w:val="TextBody"/>
        <w:numPr>
          <w:ilvl w:val="0"/>
          <w:numId w:val="7"/>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Mở rộng khách hàng chiến lược.</w:t>
      </w:r>
    </w:p>
    <w:p>
      <w:pPr>
        <w:pStyle w:val="TextBody"/>
        <w:numPr>
          <w:ilvl w:val="0"/>
          <w:numId w:val="7"/>
        </w:numPr>
        <w:tabs>
          <w:tab w:val="left" w:pos="0" w:leader="none"/>
        </w:tabs>
        <w:ind w:left="707" w:hanging="283"/>
        <w:rPr>
          <w:rFonts w:ascii="Times New Roman" w:hAnsi="Times New Roman"/>
          <w:sz w:val="24"/>
          <w:szCs w:val="24"/>
        </w:rPr>
      </w:pPr>
      <w:r>
        <w:rPr>
          <w:rFonts w:ascii="Times New Roman" w:hAnsi="Times New Roman"/>
          <w:sz w:val="24"/>
          <w:szCs w:val="24"/>
        </w:rPr>
        <w:t>Có sáng kiến mang lại hiệu quả kinh doanh cao.</w:t>
      </w:r>
    </w:p>
    <w:p>
      <w:pPr>
        <w:pStyle w:val="Heading1"/>
        <w:rPr>
          <w:rFonts w:ascii="Times New Roman" w:hAnsi="Times New Roman"/>
          <w:sz w:val="24"/>
          <w:szCs w:val="24"/>
        </w:rPr>
      </w:pPr>
      <w:r>
        <w:rPr>
          <w:rFonts w:ascii="Times New Roman" w:hAnsi="Times New Roman"/>
          <w:sz w:val="24"/>
          <w:szCs w:val="24"/>
        </w:rPr>
        <w:t>CHƯƠNG VI</w:t>
      </w:r>
    </w:p>
    <w:p>
      <w:pPr>
        <w:pStyle w:val="Heading2"/>
        <w:rPr>
          <w:rFonts w:ascii="Times New Roman" w:hAnsi="Times New Roman"/>
          <w:sz w:val="24"/>
          <w:szCs w:val="24"/>
        </w:rPr>
      </w:pPr>
      <w:r>
        <w:rPr>
          <w:rFonts w:ascii="Times New Roman" w:hAnsi="Times New Roman"/>
          <w:sz w:val="24"/>
          <w:szCs w:val="24"/>
        </w:rPr>
        <w:t>CÁC TRƯỜNG HỢP KHÔNG ĐƯỢC HƯỞNG THƯỞNG</w:t>
      </w:r>
    </w:p>
    <w:p>
      <w:pPr>
        <w:pStyle w:val="Heading3"/>
        <w:rPr>
          <w:rFonts w:ascii="Times New Roman" w:hAnsi="Times New Roman"/>
          <w:sz w:val="24"/>
          <w:szCs w:val="24"/>
        </w:rPr>
      </w:pPr>
      <w:r>
        <w:rPr>
          <w:rFonts w:ascii="Times New Roman" w:hAnsi="Times New Roman"/>
          <w:sz w:val="24"/>
          <w:szCs w:val="24"/>
        </w:rPr>
        <w:t>Điều 14.</w:t>
      </w:r>
    </w:p>
    <w:p>
      <w:pPr>
        <w:pStyle w:val="TextBody"/>
        <w:rPr>
          <w:rFonts w:ascii="Times New Roman" w:hAnsi="Times New Roman"/>
          <w:sz w:val="24"/>
          <w:szCs w:val="24"/>
        </w:rPr>
      </w:pPr>
      <w:r>
        <w:rPr>
          <w:rFonts w:ascii="Times New Roman" w:hAnsi="Times New Roman"/>
          <w:sz w:val="24"/>
          <w:szCs w:val="24"/>
        </w:rPr>
        <w:t>Nhân viên không được hưởng thưởng KPI hoặc hoa hồng trong các trường hợp:</w:t>
      </w:r>
    </w:p>
    <w:p>
      <w:pPr>
        <w:pStyle w:val="TextBody"/>
        <w:numPr>
          <w:ilvl w:val="0"/>
          <w:numId w:val="8"/>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Vi phạm nghiêm trọng nội quy lao động.</w:t>
      </w:r>
    </w:p>
    <w:p>
      <w:pPr>
        <w:pStyle w:val="TextBody"/>
        <w:numPr>
          <w:ilvl w:val="0"/>
          <w:numId w:val="8"/>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Gian lận doanh số hoặc thông tin khách hàng.</w:t>
      </w:r>
    </w:p>
    <w:p>
      <w:pPr>
        <w:pStyle w:val="TextBody"/>
        <w:numPr>
          <w:ilvl w:val="0"/>
          <w:numId w:val="8"/>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Đơn hàng bị hủy do lỗi chủ quan của nhân viên.</w:t>
      </w:r>
    </w:p>
    <w:p>
      <w:pPr>
        <w:pStyle w:val="TextBody"/>
        <w:numPr>
          <w:ilvl w:val="0"/>
          <w:numId w:val="8"/>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Khách hàng chưa thanh toán theo quy định.</w:t>
      </w:r>
    </w:p>
    <w:p>
      <w:pPr>
        <w:pStyle w:val="TextBody"/>
        <w:numPr>
          <w:ilvl w:val="0"/>
          <w:numId w:val="8"/>
        </w:numPr>
        <w:tabs>
          <w:tab w:val="left" w:pos="0" w:leader="none"/>
        </w:tabs>
        <w:ind w:left="707" w:hanging="283"/>
        <w:rPr>
          <w:rFonts w:ascii="Times New Roman" w:hAnsi="Times New Roman"/>
          <w:sz w:val="24"/>
          <w:szCs w:val="24"/>
        </w:rPr>
      </w:pPr>
      <w:r>
        <w:rPr>
          <w:rFonts w:ascii="Times New Roman" w:hAnsi="Times New Roman"/>
          <w:sz w:val="24"/>
          <w:szCs w:val="24"/>
        </w:rPr>
        <w:t>Nghỉ việc trước thời điểm chi trả thưởng mà không được Ban Giám đốc phê duyệt.</w:t>
      </w:r>
    </w:p>
    <w:p>
      <w:pPr>
        <w:pStyle w:val="Heading1"/>
        <w:rPr>
          <w:rFonts w:ascii="Times New Roman" w:hAnsi="Times New Roman"/>
          <w:sz w:val="24"/>
          <w:szCs w:val="24"/>
        </w:rPr>
      </w:pPr>
      <w:r>
        <w:rPr>
          <w:rFonts w:ascii="Times New Roman" w:hAnsi="Times New Roman"/>
          <w:sz w:val="24"/>
          <w:szCs w:val="24"/>
        </w:rPr>
        <w:t>CHƯƠNG VII</w:t>
      </w:r>
    </w:p>
    <w:p>
      <w:pPr>
        <w:pStyle w:val="Heading2"/>
        <w:rPr>
          <w:rFonts w:ascii="Times New Roman" w:hAnsi="Times New Roman"/>
          <w:sz w:val="24"/>
          <w:szCs w:val="24"/>
        </w:rPr>
      </w:pPr>
      <w:r>
        <w:rPr>
          <w:rFonts w:ascii="Times New Roman" w:hAnsi="Times New Roman"/>
          <w:sz w:val="24"/>
          <w:szCs w:val="24"/>
        </w:rPr>
        <w:t>TỔ CHỨC THỰC HIỆN</w:t>
      </w:r>
    </w:p>
    <w:p>
      <w:pPr>
        <w:pStyle w:val="Heading3"/>
        <w:rPr>
          <w:rFonts w:ascii="Times New Roman" w:hAnsi="Times New Roman"/>
          <w:sz w:val="24"/>
          <w:szCs w:val="24"/>
        </w:rPr>
      </w:pPr>
      <w:r>
        <w:rPr>
          <w:rFonts w:ascii="Times New Roman" w:hAnsi="Times New Roman"/>
          <w:sz w:val="24"/>
          <w:szCs w:val="24"/>
        </w:rPr>
        <w:t>Điều 15.</w:t>
      </w:r>
    </w:p>
    <w:p>
      <w:pPr>
        <w:pStyle w:val="TextBody"/>
        <w:numPr>
          <w:ilvl w:val="0"/>
          <w:numId w:val="9"/>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Trưởng phòng Kinh doanh chịu trách nhiệm theo dõi và đánh giá KPI.</w:t>
      </w:r>
    </w:p>
    <w:p>
      <w:pPr>
        <w:pStyle w:val="TextBody"/>
        <w:numPr>
          <w:ilvl w:val="0"/>
          <w:numId w:val="9"/>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Phòng Nhân sự phối hợp tính lương, thưởng theo quy chế này.</w:t>
      </w:r>
    </w:p>
    <w:p>
      <w:pPr>
        <w:pStyle w:val="TextBody"/>
        <w:numPr>
          <w:ilvl w:val="0"/>
          <w:numId w:val="9"/>
        </w:numPr>
        <w:tabs>
          <w:tab w:val="left" w:pos="0" w:leader="none"/>
        </w:tabs>
        <w:ind w:left="707" w:hanging="283"/>
        <w:rPr>
          <w:rFonts w:ascii="Times New Roman" w:hAnsi="Times New Roman"/>
          <w:sz w:val="24"/>
          <w:szCs w:val="24"/>
        </w:rPr>
      </w:pPr>
      <w:r>
        <w:rPr>
          <w:rFonts w:ascii="Times New Roman" w:hAnsi="Times New Roman"/>
          <w:sz w:val="24"/>
          <w:szCs w:val="24"/>
        </w:rPr>
        <w:t>Phòng Kế toán thực hiện chi trả theo danh sách được phê duyệt.</w:t>
      </w:r>
    </w:p>
    <w:p>
      <w:pPr>
        <w:pStyle w:val="Heading3"/>
        <w:rPr>
          <w:rFonts w:ascii="Times New Roman" w:hAnsi="Times New Roman"/>
          <w:sz w:val="24"/>
          <w:szCs w:val="24"/>
        </w:rPr>
      </w:pPr>
      <w:r>
        <w:rPr>
          <w:rFonts w:ascii="Times New Roman" w:hAnsi="Times New Roman"/>
          <w:sz w:val="24"/>
          <w:szCs w:val="24"/>
        </w:rPr>
        <w:t>Điều 16.</w:t>
      </w:r>
    </w:p>
    <w:p>
      <w:pPr>
        <w:pStyle w:val="TextBody"/>
        <w:rPr>
          <w:rFonts w:ascii="Times New Roman" w:hAnsi="Times New Roman"/>
          <w:sz w:val="24"/>
          <w:szCs w:val="24"/>
        </w:rPr>
      </w:pPr>
      <w:r>
        <w:rPr>
          <w:rFonts w:ascii="Times New Roman" w:hAnsi="Times New Roman"/>
          <w:sz w:val="24"/>
          <w:szCs w:val="24"/>
        </w:rPr>
        <w:t>Quy chế này có hiệu lực kể từ ngày ..... tháng ..... năm 2026 và thay thế các quy định trước đây liên quan đến chế độ tiền lương, tiền thưởng đối với bộ phận Sales.</w:t>
      </w:r>
    </w:p>
    <w:p>
      <w:pPr>
        <w:pStyle w:val="TextBody"/>
        <w:jc w:val="right"/>
        <w:rPr>
          <w:rFonts w:ascii="Times New Roman" w:hAnsi="Times New Roman"/>
          <w:b/>
          <w:b/>
          <w:bCs/>
          <w:sz w:val="24"/>
          <w:szCs w:val="24"/>
        </w:rPr>
      </w:pPr>
      <w:r>
        <w:rPr>
          <w:rFonts w:ascii="Times New Roman" w:hAnsi="Times New Roman"/>
          <w:b/>
          <w:bCs/>
          <w:sz w:val="24"/>
          <w:szCs w:val="24"/>
        </w:rPr>
        <w:t>ĐẠI DIỆN NGƯỜI SỬ DỤNG LAO ĐỘNG</w:t>
      </w:r>
    </w:p>
    <w:p>
      <w:pPr>
        <w:pStyle w:val="TextBody"/>
        <w:jc w:val="right"/>
        <w:rPr>
          <w:rFonts w:ascii="Times New Roman" w:hAnsi="Times New Roman"/>
          <w:b/>
          <w:b/>
          <w:bCs/>
          <w:sz w:val="24"/>
          <w:szCs w:val="24"/>
        </w:rPr>
      </w:pPr>
      <w:r>
        <w:rPr>
          <w:rFonts w:ascii="Times New Roman" w:hAnsi="Times New Roman"/>
          <w:b/>
          <w:bCs/>
          <w:sz w:val="24"/>
          <w:szCs w:val="24"/>
        </w:rPr>
        <w:t>(Ký, ghi rõ họ tên, chức vụ và đóng dấu)</w:t>
      </w:r>
    </w:p>
    <w:p>
      <w:pPr>
        <w:pStyle w:val="TextBody"/>
        <w:jc w:val="right"/>
        <w:rPr>
          <w:rFonts w:ascii="Times New Roman" w:hAnsi="Times New Roman"/>
          <w:b/>
          <w:b/>
          <w:bCs/>
          <w:sz w:val="24"/>
          <w:szCs w:val="24"/>
        </w:rPr>
      </w:pPr>
      <w:r>
        <w:rPr>
          <w:rFonts w:ascii="Times New Roman" w:hAnsi="Times New Roman"/>
          <w:b/>
          <w:bCs/>
          <w:sz w:val="24"/>
          <w:szCs w:val="24"/>
        </w:rPr>
        <w:t>...................................................</w:t>
      </w:r>
    </w:p>
    <w:p>
      <w:pPr>
        <w:pStyle w:val="TextBody"/>
        <w:shd w:val="clear" w:color="auto" w:fill="FFFFFF"/>
        <w:spacing w:lineRule="auto" w:line="240" w:before="0" w:after="0"/>
        <w:jc w:val="right"/>
        <w:rPr>
          <w:rFonts w:eastAsia="Times New Roman" w:cs="Times New Roman"/>
          <w:color w:val="000000"/>
        </w:rPr>
      </w:pPr>
      <w:r>
        <w:rPr>
          <w:rFonts w:ascii="Times New Roman" w:hAnsi="Times New Roman"/>
          <w:b/>
          <w:bCs/>
          <w:sz w:val="24"/>
          <w:szCs w:val="24"/>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4">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5">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6">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7">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8">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9">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0">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link w:val="Heading1Char"/>
    <w:uiPriority w:val="9"/>
    <w:qFormat/>
    <w:rsid w:val="00b0530c"/>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Heading2">
    <w:name w:val="Heading 2"/>
    <w:basedOn w:val="Heading"/>
    <w:next w:val="TextBody"/>
    <w:qFormat/>
    <w:pPr>
      <w:spacing w:before="200" w:after="120"/>
      <w:outlineLvl w:val="1"/>
    </w:pPr>
    <w:rPr>
      <w:rFonts w:ascii="Liberation Serif" w:hAnsi="Liberation Serif" w:eastAsia="Segoe UI" w:cs="Tahoma"/>
      <w:b/>
      <w:bCs/>
      <w:sz w:val="36"/>
      <w:szCs w:val="36"/>
    </w:rPr>
  </w:style>
  <w:style w:type="paragraph" w:styleId="Heading3">
    <w:name w:val="Heading 3"/>
    <w:basedOn w:val="Heading"/>
    <w:next w:val="TextBody"/>
    <w:qFormat/>
    <w:p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b0530c"/>
    <w:rPr>
      <w:rFonts w:ascii="Times New Roman" w:hAnsi="Times New Roman" w:eastAsia="Times New Roman" w:cs="Times New Roman"/>
      <w:b/>
      <w:bCs/>
      <w:kern w:val="2"/>
      <w:sz w:val="48"/>
      <w:szCs w:val="48"/>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basedOn w:val="Normal"/>
    <w:uiPriority w:val="99"/>
    <w:semiHidden/>
    <w:unhideWhenUsed/>
    <w:qFormat/>
    <w:rsid w:val="00b0530c"/>
    <w:pPr>
      <w:spacing w:lineRule="auto" w:line="240" w:beforeAutospacing="1" w:afterAutospacing="1"/>
    </w:pPr>
    <w:rPr>
      <w:rFonts w:ascii="Times New Roman" w:hAnsi="Times New Roman" w:eastAsia="Times New Roman" w:cs="Times New Roman"/>
      <w:sz w:val="24"/>
      <w:szCs w:val="24"/>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Application>LibreOffice/6.0.4.2$Windows_x86 LibreOffice_project/9b0d9b32d5dcda91d2f1a96dc04c645c450872bf</Application>
  <Pages>4</Pages>
  <Words>862</Words>
  <Characters>3170</Characters>
  <CharactersWithSpaces>3881</CharactersWithSpaces>
  <Paragraphs>120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2025-03-10T01:42:00Z</dcterms:created>
  <dc:creator>PC</dc:creator>
  <dc:description/>
  <dc:language>vi-VN</dc:language>
  <cp:lastModifiedBy/>
  <dcterms:modified xsi:type="dcterms:W3CDTF">2026-06-17T13:59:35Z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