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44C" w:rsidRPr="00BE144C" w:rsidRDefault="00BE144C" w:rsidP="00BE144C">
      <w:pPr>
        <w:shd w:val="clear" w:color="auto" w:fill="FFFFFF"/>
        <w:spacing w:before="120"/>
        <w:jc w:val="center"/>
        <w:rPr>
          <w:rFonts w:ascii="Times New Roman" w:eastAsia="Times New Roman" w:hAnsi="Times New Roman"/>
          <w:b/>
          <w:bCs/>
          <w:sz w:val="24"/>
          <w:szCs w:val="24"/>
        </w:rPr>
      </w:pPr>
      <w:r w:rsidRPr="00BE144C">
        <w:rPr>
          <w:rFonts w:ascii="Times New Roman" w:eastAsia="Times New Roman" w:hAnsi="Times New Roman"/>
          <w:b/>
          <w:bCs/>
          <w:sz w:val="24"/>
          <w:szCs w:val="24"/>
        </w:rPr>
        <w:t>PHỤ LỤC XI</w:t>
      </w:r>
    </w:p>
    <w:p w:rsidR="00BE144C" w:rsidRPr="00BE144C" w:rsidRDefault="00BE144C" w:rsidP="00BE144C">
      <w:pPr>
        <w:shd w:val="clear" w:color="auto" w:fill="FFFFFF"/>
        <w:spacing w:before="120"/>
        <w:jc w:val="center"/>
        <w:rPr>
          <w:rFonts w:ascii="Times New Roman" w:eastAsia="Times New Roman" w:hAnsi="Times New Roman"/>
          <w:i/>
          <w:iCs/>
          <w:sz w:val="24"/>
          <w:szCs w:val="24"/>
        </w:rPr>
      </w:pPr>
      <w:r w:rsidRPr="00BE144C">
        <w:rPr>
          <w:rFonts w:ascii="Times New Roman" w:eastAsia="Times New Roman" w:hAnsi="Times New Roman"/>
          <w:bCs/>
          <w:sz w:val="24"/>
          <w:szCs w:val="24"/>
        </w:rPr>
        <w:t>DANH MỤC CÔNG TRÌNH ẢNH HƯỞNG LỚN ĐẾN AN TOÀN, LỢI ÍCH CỘNG ĐỒNG</w:t>
      </w:r>
      <w:r w:rsidRPr="00BE144C">
        <w:rPr>
          <w:rFonts w:ascii="Times New Roman" w:eastAsia="Times New Roman" w:hAnsi="Times New Roman"/>
          <w:bCs/>
          <w:sz w:val="24"/>
          <w:szCs w:val="24"/>
        </w:rPr>
        <w:br/>
      </w:r>
      <w:r w:rsidRPr="00BE144C">
        <w:rPr>
          <w:rFonts w:ascii="Times New Roman" w:eastAsia="Times New Roman" w:hAnsi="Times New Roman"/>
          <w:i/>
          <w:iCs/>
          <w:sz w:val="24"/>
          <w:szCs w:val="24"/>
        </w:rPr>
        <w:t>(Kèm theo Nghị định số 175/2024/NĐ-CP ngày 30 tháng 12 năm 2024 của Chính phủ)</w:t>
      </w:r>
    </w:p>
    <w:p w:rsidR="00BE144C" w:rsidRPr="00BE144C" w:rsidRDefault="00BE144C" w:rsidP="00BE144C">
      <w:pPr>
        <w:shd w:val="clear" w:color="auto" w:fill="FFFFFF"/>
        <w:spacing w:before="120"/>
        <w:rPr>
          <w:rFonts w:ascii="Times New Roman" w:eastAsia="Times New Roman" w:hAnsi="Times New Roman"/>
          <w:sz w:val="24"/>
          <w:szCs w:val="24"/>
        </w:rPr>
      </w:pPr>
      <w:r w:rsidRPr="00BE144C">
        <w:rPr>
          <w:rFonts w:ascii="Times New Roman" w:eastAsia="Times New Roman" w:hAnsi="Times New Roman"/>
          <w:sz w:val="24"/>
          <w:szCs w:val="24"/>
        </w:rPr>
        <w:t>Công trình ảnh hưởng lớn đến an toàn, lợ</w:t>
      </w:r>
      <w:bookmarkStart w:id="0" w:name="_GoBack"/>
      <w:bookmarkEnd w:id="0"/>
      <w:r w:rsidRPr="00BE144C">
        <w:rPr>
          <w:rFonts w:ascii="Times New Roman" w:eastAsia="Times New Roman" w:hAnsi="Times New Roman"/>
          <w:sz w:val="24"/>
          <w:szCs w:val="24"/>
        </w:rPr>
        <w:t>i ích cộng đồng là các công trình được đầu tư xây dựng mới và các công trình được cải tạo, sửa chữa làm thay đổi quy mô, công suất, công năng, kết cấu chịu lực chính trong danh mục dưới đây:</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78"/>
        <w:gridCol w:w="2353"/>
        <w:gridCol w:w="4411"/>
        <w:gridCol w:w="1712"/>
      </w:tblGrid>
      <w:tr w:rsidR="00BE144C" w:rsidRPr="00BE144C" w:rsidTr="003F6B5F">
        <w:trPr>
          <w:trHeight w:val="20"/>
        </w:trPr>
        <w:tc>
          <w:tcPr>
            <w:tcW w:w="469" w:type="pct"/>
            <w:shd w:val="clear" w:color="auto" w:fill="auto"/>
            <w:vAlign w:val="center"/>
          </w:tcPr>
          <w:p w:rsidR="00BE144C" w:rsidRPr="00BE144C" w:rsidRDefault="00BE144C" w:rsidP="003F6B5F">
            <w:pPr>
              <w:spacing w:before="120"/>
              <w:jc w:val="center"/>
              <w:rPr>
                <w:rFonts w:ascii="Times New Roman" w:eastAsia="Times New Roman" w:hAnsi="Times New Roman"/>
                <w:b/>
                <w:bCs/>
                <w:sz w:val="24"/>
                <w:szCs w:val="24"/>
              </w:rPr>
            </w:pPr>
            <w:r w:rsidRPr="00BE144C">
              <w:rPr>
                <w:rFonts w:ascii="Times New Roman" w:eastAsia="Times New Roman" w:hAnsi="Times New Roman"/>
                <w:b/>
                <w:bCs/>
                <w:sz w:val="24"/>
                <w:szCs w:val="24"/>
              </w:rPr>
              <w:t>Mã số</w:t>
            </w:r>
          </w:p>
        </w:tc>
        <w:tc>
          <w:tcPr>
            <w:tcW w:w="3616" w:type="pct"/>
            <w:gridSpan w:val="2"/>
            <w:shd w:val="clear" w:color="auto" w:fill="auto"/>
            <w:vAlign w:val="center"/>
          </w:tcPr>
          <w:p w:rsidR="00BE144C" w:rsidRPr="00BE144C" w:rsidRDefault="00BE144C" w:rsidP="003F6B5F">
            <w:pPr>
              <w:spacing w:before="120"/>
              <w:jc w:val="center"/>
              <w:rPr>
                <w:rFonts w:ascii="Times New Roman" w:eastAsia="Times New Roman" w:hAnsi="Times New Roman"/>
                <w:b/>
                <w:bCs/>
                <w:sz w:val="24"/>
                <w:szCs w:val="24"/>
              </w:rPr>
            </w:pPr>
            <w:r w:rsidRPr="00BE144C">
              <w:rPr>
                <w:rFonts w:ascii="Times New Roman" w:eastAsia="Times New Roman" w:hAnsi="Times New Roman"/>
                <w:b/>
                <w:bCs/>
                <w:sz w:val="24"/>
                <w:szCs w:val="24"/>
              </w:rPr>
              <w:t>Loại công trình</w:t>
            </w:r>
          </w:p>
        </w:tc>
        <w:tc>
          <w:tcPr>
            <w:tcW w:w="915" w:type="pct"/>
            <w:shd w:val="clear" w:color="auto" w:fill="auto"/>
            <w:vAlign w:val="center"/>
          </w:tcPr>
          <w:p w:rsidR="00BE144C" w:rsidRPr="00BE144C" w:rsidRDefault="00BE144C" w:rsidP="003F6B5F">
            <w:pPr>
              <w:spacing w:before="120"/>
              <w:jc w:val="center"/>
              <w:rPr>
                <w:rFonts w:ascii="Times New Roman" w:eastAsia="Times New Roman" w:hAnsi="Times New Roman"/>
                <w:b/>
                <w:bCs/>
                <w:sz w:val="24"/>
                <w:szCs w:val="24"/>
              </w:rPr>
            </w:pPr>
            <w:r w:rsidRPr="00BE144C">
              <w:rPr>
                <w:rFonts w:ascii="Times New Roman" w:eastAsia="Times New Roman" w:hAnsi="Times New Roman"/>
                <w:b/>
                <w:bCs/>
                <w:sz w:val="24"/>
                <w:szCs w:val="24"/>
              </w:rPr>
              <w:t>Cấp công trình</w:t>
            </w:r>
          </w:p>
        </w:tc>
      </w:tr>
      <w:tr w:rsidR="00BE144C" w:rsidRPr="00BE144C" w:rsidTr="003F6B5F">
        <w:trPr>
          <w:trHeight w:val="20"/>
        </w:trPr>
        <w:tc>
          <w:tcPr>
            <w:tcW w:w="469" w:type="pct"/>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r w:rsidRPr="00BE144C">
              <w:rPr>
                <w:rFonts w:ascii="Times New Roman" w:eastAsia="Times New Roman" w:hAnsi="Times New Roman"/>
                <w:b/>
                <w:bCs/>
                <w:sz w:val="24"/>
                <w:szCs w:val="24"/>
              </w:rPr>
              <w:t>I</w:t>
            </w:r>
          </w:p>
        </w:tc>
        <w:tc>
          <w:tcPr>
            <w:tcW w:w="3616" w:type="pct"/>
            <w:gridSpan w:val="2"/>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b/>
                <w:bCs/>
                <w:sz w:val="24"/>
                <w:szCs w:val="24"/>
              </w:rPr>
              <w:t>CÔNG TRÌNH DÂN DỤNG</w:t>
            </w:r>
          </w:p>
        </w:tc>
        <w:tc>
          <w:tcPr>
            <w:tcW w:w="915"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p>
        </w:tc>
      </w:tr>
      <w:tr w:rsidR="00BE144C" w:rsidRPr="00BE144C" w:rsidTr="003F6B5F">
        <w:trPr>
          <w:trHeight w:val="20"/>
        </w:trPr>
        <w:tc>
          <w:tcPr>
            <w:tcW w:w="469" w:type="pct"/>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r w:rsidRPr="00BE144C">
              <w:rPr>
                <w:rFonts w:ascii="Times New Roman" w:eastAsia="Times New Roman" w:hAnsi="Times New Roman"/>
                <w:sz w:val="24"/>
                <w:szCs w:val="24"/>
              </w:rPr>
              <w:t>I.1</w:t>
            </w:r>
          </w:p>
        </w:tc>
        <w:tc>
          <w:tcPr>
            <w:tcW w:w="12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Nhà ở</w:t>
            </w:r>
          </w:p>
        </w:tc>
        <w:tc>
          <w:tcPr>
            <w:tcW w:w="23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Các tòa nhà chung cư, nhà ở tập thể khác</w:t>
            </w:r>
          </w:p>
        </w:tc>
        <w:tc>
          <w:tcPr>
            <w:tcW w:w="915"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Cấp III trở lên</w:t>
            </w:r>
          </w:p>
        </w:tc>
      </w:tr>
      <w:tr w:rsidR="00BE144C" w:rsidRPr="00BE144C" w:rsidTr="003F6B5F">
        <w:trPr>
          <w:trHeight w:val="20"/>
        </w:trPr>
        <w:tc>
          <w:tcPr>
            <w:tcW w:w="469" w:type="pct"/>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r w:rsidRPr="00BE144C">
              <w:rPr>
                <w:rFonts w:ascii="Times New Roman" w:eastAsia="Times New Roman" w:hAnsi="Times New Roman"/>
                <w:sz w:val="24"/>
                <w:szCs w:val="24"/>
              </w:rPr>
              <w:t>I.2</w:t>
            </w:r>
          </w:p>
        </w:tc>
        <w:tc>
          <w:tcPr>
            <w:tcW w:w="12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Công trình công cộng</w:t>
            </w:r>
          </w:p>
        </w:tc>
        <w:tc>
          <w:tcPr>
            <w:tcW w:w="23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p>
        </w:tc>
        <w:tc>
          <w:tcPr>
            <w:tcW w:w="915"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p>
        </w:tc>
      </w:tr>
      <w:tr w:rsidR="00BE144C" w:rsidRPr="00BE144C" w:rsidTr="003F6B5F">
        <w:trPr>
          <w:trHeight w:val="20"/>
        </w:trPr>
        <w:tc>
          <w:tcPr>
            <w:tcW w:w="469" w:type="pct"/>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r w:rsidRPr="00BE144C">
              <w:rPr>
                <w:rFonts w:ascii="Times New Roman" w:eastAsia="Times New Roman" w:hAnsi="Times New Roman"/>
                <w:sz w:val="24"/>
                <w:szCs w:val="24"/>
              </w:rPr>
              <w:t>I.2.1</w:t>
            </w:r>
          </w:p>
        </w:tc>
        <w:tc>
          <w:tcPr>
            <w:tcW w:w="12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Công trình giáo dục, đào tạo, nghiên cứu</w:t>
            </w:r>
          </w:p>
        </w:tc>
        <w:tc>
          <w:tcPr>
            <w:tcW w:w="23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p>
        </w:tc>
        <w:tc>
          <w:tcPr>
            <w:tcW w:w="915"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Cấp III trở lên</w:t>
            </w:r>
          </w:p>
        </w:tc>
      </w:tr>
      <w:tr w:rsidR="00BE144C" w:rsidRPr="00BE144C" w:rsidTr="003F6B5F">
        <w:trPr>
          <w:trHeight w:val="20"/>
        </w:trPr>
        <w:tc>
          <w:tcPr>
            <w:tcW w:w="469" w:type="pct"/>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r w:rsidRPr="00BE144C">
              <w:rPr>
                <w:rFonts w:ascii="Times New Roman" w:eastAsia="Times New Roman" w:hAnsi="Times New Roman"/>
                <w:sz w:val="24"/>
                <w:szCs w:val="24"/>
              </w:rPr>
              <w:t>I.2.2</w:t>
            </w:r>
          </w:p>
        </w:tc>
        <w:tc>
          <w:tcPr>
            <w:tcW w:w="12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Công trình y tế</w:t>
            </w:r>
          </w:p>
        </w:tc>
        <w:tc>
          <w:tcPr>
            <w:tcW w:w="23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p>
        </w:tc>
        <w:tc>
          <w:tcPr>
            <w:tcW w:w="915"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Cấp III trở lên</w:t>
            </w:r>
          </w:p>
        </w:tc>
      </w:tr>
      <w:tr w:rsidR="00BE144C" w:rsidRPr="00BE144C" w:rsidTr="003F6B5F">
        <w:trPr>
          <w:trHeight w:val="20"/>
        </w:trPr>
        <w:tc>
          <w:tcPr>
            <w:tcW w:w="469" w:type="pct"/>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r w:rsidRPr="00BE144C">
              <w:rPr>
                <w:rFonts w:ascii="Times New Roman" w:eastAsia="Times New Roman" w:hAnsi="Times New Roman"/>
                <w:sz w:val="24"/>
                <w:szCs w:val="24"/>
              </w:rPr>
              <w:t>I.2.3</w:t>
            </w:r>
          </w:p>
        </w:tc>
        <w:tc>
          <w:tcPr>
            <w:tcW w:w="12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Công trình thể thao</w:t>
            </w:r>
          </w:p>
        </w:tc>
        <w:tc>
          <w:tcPr>
            <w:tcW w:w="23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Sân vận động; nhà thi đấu (các môn thể thao); bể bơi; sân thi đấu các môn thể thao có khán đài</w:t>
            </w:r>
          </w:p>
        </w:tc>
        <w:tc>
          <w:tcPr>
            <w:tcW w:w="915"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Cấp III trở lên</w:t>
            </w:r>
          </w:p>
        </w:tc>
      </w:tr>
      <w:tr w:rsidR="00BE144C" w:rsidRPr="00BE144C" w:rsidTr="003F6B5F">
        <w:trPr>
          <w:trHeight w:val="20"/>
        </w:trPr>
        <w:tc>
          <w:tcPr>
            <w:tcW w:w="469" w:type="pct"/>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r w:rsidRPr="00BE144C">
              <w:rPr>
                <w:rFonts w:ascii="Times New Roman" w:eastAsia="Times New Roman" w:hAnsi="Times New Roman"/>
                <w:sz w:val="24"/>
                <w:szCs w:val="24"/>
              </w:rPr>
              <w:t>I.2.4</w:t>
            </w:r>
          </w:p>
        </w:tc>
        <w:tc>
          <w:tcPr>
            <w:tcW w:w="12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Công trình văn hóa</w:t>
            </w:r>
          </w:p>
        </w:tc>
        <w:tc>
          <w:tcPr>
            <w:tcW w:w="23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Trung tâm hội nghị, nhà hát, nhà văn hóa, câu lạc bộ, rạp chiếu phim, rạp xiếc, vũ trường; các công trình di tích; bảo tàng, thư viện, triển lãm, nhà trưng bày; tượng đài ngoài trời; công trình vui chơi giải trí; công trình văn hóa tập trung đông người và các công trình khác có chức năng tương đương</w:t>
            </w:r>
          </w:p>
        </w:tc>
        <w:tc>
          <w:tcPr>
            <w:tcW w:w="915"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Cấp III trở lên</w:t>
            </w:r>
          </w:p>
        </w:tc>
      </w:tr>
      <w:tr w:rsidR="00BE144C" w:rsidRPr="00BE144C" w:rsidTr="003F6B5F">
        <w:trPr>
          <w:trHeight w:val="20"/>
        </w:trPr>
        <w:tc>
          <w:tcPr>
            <w:tcW w:w="469" w:type="pct"/>
            <w:vMerge w:val="restart"/>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r w:rsidRPr="00BE144C">
              <w:rPr>
                <w:rFonts w:ascii="Times New Roman" w:eastAsia="Times New Roman" w:hAnsi="Times New Roman"/>
                <w:sz w:val="24"/>
                <w:szCs w:val="24"/>
              </w:rPr>
              <w:t>I.2.5</w:t>
            </w:r>
          </w:p>
        </w:tc>
        <w:tc>
          <w:tcPr>
            <w:tcW w:w="1258" w:type="pct"/>
            <w:vMerge w:val="restar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Công trình thương mại</w:t>
            </w:r>
          </w:p>
        </w:tc>
        <w:tc>
          <w:tcPr>
            <w:tcW w:w="23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Trung tâm thương mại, siêu thị</w:t>
            </w:r>
          </w:p>
        </w:tc>
        <w:tc>
          <w:tcPr>
            <w:tcW w:w="915"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Cấp III trở lên</w:t>
            </w:r>
          </w:p>
        </w:tc>
      </w:tr>
      <w:tr w:rsidR="00BE144C" w:rsidRPr="00BE144C" w:rsidTr="003F6B5F">
        <w:trPr>
          <w:trHeight w:val="20"/>
        </w:trPr>
        <w:tc>
          <w:tcPr>
            <w:tcW w:w="469" w:type="pct"/>
            <w:vMerge/>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p>
        </w:tc>
        <w:tc>
          <w:tcPr>
            <w:tcW w:w="1258" w:type="pct"/>
            <w:vMerge/>
            <w:shd w:val="clear" w:color="auto" w:fill="auto"/>
            <w:vAlign w:val="center"/>
          </w:tcPr>
          <w:p w:rsidR="00BE144C" w:rsidRPr="00BE144C" w:rsidRDefault="00BE144C" w:rsidP="003F6B5F">
            <w:pPr>
              <w:spacing w:before="120"/>
              <w:rPr>
                <w:rFonts w:ascii="Times New Roman" w:eastAsia="Times New Roman" w:hAnsi="Times New Roman"/>
                <w:sz w:val="24"/>
                <w:szCs w:val="24"/>
              </w:rPr>
            </w:pPr>
          </w:p>
        </w:tc>
        <w:tc>
          <w:tcPr>
            <w:tcW w:w="23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Nhà hàng, cửa hàng ăn uống, giải khát và các cơ sở tương tự</w:t>
            </w:r>
          </w:p>
        </w:tc>
        <w:tc>
          <w:tcPr>
            <w:tcW w:w="915"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Cấp II trở lên</w:t>
            </w:r>
          </w:p>
        </w:tc>
      </w:tr>
      <w:tr w:rsidR="00BE144C" w:rsidRPr="00BE144C" w:rsidTr="003F6B5F">
        <w:trPr>
          <w:trHeight w:val="20"/>
        </w:trPr>
        <w:tc>
          <w:tcPr>
            <w:tcW w:w="469" w:type="pct"/>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r w:rsidRPr="00BE144C">
              <w:rPr>
                <w:rFonts w:ascii="Times New Roman" w:eastAsia="Times New Roman" w:hAnsi="Times New Roman"/>
                <w:sz w:val="24"/>
                <w:szCs w:val="24"/>
              </w:rPr>
              <w:t>I.2.6</w:t>
            </w:r>
          </w:p>
        </w:tc>
        <w:tc>
          <w:tcPr>
            <w:tcW w:w="12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Công trình dịch vụ</w:t>
            </w:r>
          </w:p>
        </w:tc>
        <w:tc>
          <w:tcPr>
            <w:tcW w:w="23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Khách sạn, nhà khách, nhà nghỉ; khu nghỉ dưỡng; biệt thự lưu trú; căn hộ lưu trú và các cơ sở tương tự; bưu điện, bưu cục, cơ sở cung cấp dịch vụ bưu chính, viễn thông khác</w:t>
            </w:r>
          </w:p>
        </w:tc>
        <w:tc>
          <w:tcPr>
            <w:tcW w:w="915"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Cấp III trở lên</w:t>
            </w:r>
          </w:p>
        </w:tc>
      </w:tr>
      <w:tr w:rsidR="00BE144C" w:rsidRPr="00BE144C" w:rsidTr="003F6B5F">
        <w:trPr>
          <w:trHeight w:val="20"/>
        </w:trPr>
        <w:tc>
          <w:tcPr>
            <w:tcW w:w="469" w:type="pct"/>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r w:rsidRPr="00BE144C">
              <w:rPr>
                <w:rFonts w:ascii="Times New Roman" w:eastAsia="Times New Roman" w:hAnsi="Times New Roman"/>
                <w:sz w:val="24"/>
                <w:szCs w:val="24"/>
              </w:rPr>
              <w:t>I.2.7</w:t>
            </w:r>
          </w:p>
        </w:tc>
        <w:tc>
          <w:tcPr>
            <w:tcW w:w="12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Công trình trụ sở, văn phòng làm việc</w:t>
            </w:r>
          </w:p>
        </w:tc>
        <w:tc>
          <w:tcPr>
            <w:tcW w:w="23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Các tòa nhà sử dụng làm trụ sở, văn phòng làm việc</w:t>
            </w:r>
          </w:p>
        </w:tc>
        <w:tc>
          <w:tcPr>
            <w:tcW w:w="915"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Cấp III trở lên</w:t>
            </w:r>
          </w:p>
        </w:tc>
      </w:tr>
      <w:tr w:rsidR="00BE144C" w:rsidRPr="00BE144C" w:rsidTr="003F6B5F">
        <w:trPr>
          <w:trHeight w:val="20"/>
        </w:trPr>
        <w:tc>
          <w:tcPr>
            <w:tcW w:w="469" w:type="pct"/>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r w:rsidRPr="00BE144C">
              <w:rPr>
                <w:rFonts w:ascii="Times New Roman" w:eastAsia="Times New Roman" w:hAnsi="Times New Roman"/>
                <w:sz w:val="24"/>
                <w:szCs w:val="24"/>
              </w:rPr>
              <w:t>I.2.8</w:t>
            </w:r>
          </w:p>
        </w:tc>
        <w:tc>
          <w:tcPr>
            <w:tcW w:w="12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Các công trình đa năng hoặc hỗn hợp</w:t>
            </w:r>
          </w:p>
        </w:tc>
        <w:tc>
          <w:tcPr>
            <w:tcW w:w="23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Các tòa nhà, kết cấu khác sử dụng đa năng hoặc hỗn hợp khác</w:t>
            </w:r>
          </w:p>
        </w:tc>
        <w:tc>
          <w:tcPr>
            <w:tcW w:w="915"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Cấp III trở lên</w:t>
            </w:r>
          </w:p>
        </w:tc>
      </w:tr>
      <w:tr w:rsidR="00BE144C" w:rsidRPr="00BE144C" w:rsidTr="003F6B5F">
        <w:trPr>
          <w:trHeight w:val="20"/>
        </w:trPr>
        <w:tc>
          <w:tcPr>
            <w:tcW w:w="469" w:type="pct"/>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r w:rsidRPr="00BE144C">
              <w:rPr>
                <w:rFonts w:ascii="Times New Roman" w:eastAsia="Times New Roman" w:hAnsi="Times New Roman"/>
                <w:sz w:val="24"/>
                <w:szCs w:val="24"/>
              </w:rPr>
              <w:t>I.2.9</w:t>
            </w:r>
          </w:p>
        </w:tc>
        <w:tc>
          <w:tcPr>
            <w:tcW w:w="12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Công trình phục vụ dân sinh khác</w:t>
            </w:r>
          </w:p>
        </w:tc>
        <w:tc>
          <w:tcPr>
            <w:tcW w:w="23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Các tòa nhà hoặc kết cấu khác được xây dựng phục vụ dân sinh</w:t>
            </w:r>
          </w:p>
        </w:tc>
        <w:tc>
          <w:tcPr>
            <w:tcW w:w="915"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Cấp II trở lên</w:t>
            </w:r>
          </w:p>
        </w:tc>
      </w:tr>
      <w:tr w:rsidR="00BE144C" w:rsidRPr="00BE144C" w:rsidTr="003F6B5F">
        <w:trPr>
          <w:trHeight w:val="20"/>
        </w:trPr>
        <w:tc>
          <w:tcPr>
            <w:tcW w:w="469" w:type="pct"/>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r w:rsidRPr="00BE144C">
              <w:rPr>
                <w:rFonts w:ascii="Times New Roman" w:eastAsia="Times New Roman" w:hAnsi="Times New Roman"/>
                <w:b/>
                <w:bCs/>
                <w:sz w:val="24"/>
                <w:szCs w:val="24"/>
              </w:rPr>
              <w:lastRenderedPageBreak/>
              <w:t>II</w:t>
            </w:r>
          </w:p>
        </w:tc>
        <w:tc>
          <w:tcPr>
            <w:tcW w:w="4531" w:type="pct"/>
            <w:gridSpan w:val="3"/>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b/>
                <w:bCs/>
                <w:sz w:val="24"/>
                <w:szCs w:val="24"/>
              </w:rPr>
              <w:t>CÔNG TRÌNH CÔNG NGHIỆP</w:t>
            </w:r>
          </w:p>
        </w:tc>
      </w:tr>
      <w:tr w:rsidR="00BE144C" w:rsidRPr="00BE144C" w:rsidTr="003F6B5F">
        <w:trPr>
          <w:trHeight w:val="20"/>
        </w:trPr>
        <w:tc>
          <w:tcPr>
            <w:tcW w:w="469" w:type="pct"/>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r w:rsidRPr="00BE144C">
              <w:rPr>
                <w:rFonts w:ascii="Times New Roman" w:eastAsia="Times New Roman" w:hAnsi="Times New Roman"/>
                <w:sz w:val="24"/>
                <w:szCs w:val="24"/>
              </w:rPr>
              <w:t>II.1</w:t>
            </w:r>
          </w:p>
        </w:tc>
        <w:tc>
          <w:tcPr>
            <w:tcW w:w="12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Công trình sản xuất vật liệu, sản phẩm xây dựng</w:t>
            </w:r>
          </w:p>
        </w:tc>
        <w:tc>
          <w:tcPr>
            <w:tcW w:w="23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p>
        </w:tc>
        <w:tc>
          <w:tcPr>
            <w:tcW w:w="915"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Cấp III trở lên</w:t>
            </w:r>
          </w:p>
        </w:tc>
      </w:tr>
      <w:tr w:rsidR="00BE144C" w:rsidRPr="00BE144C" w:rsidTr="003F6B5F">
        <w:trPr>
          <w:trHeight w:val="20"/>
        </w:trPr>
        <w:tc>
          <w:tcPr>
            <w:tcW w:w="469" w:type="pct"/>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r w:rsidRPr="00BE144C">
              <w:rPr>
                <w:rFonts w:ascii="Times New Roman" w:eastAsia="Times New Roman" w:hAnsi="Times New Roman"/>
                <w:sz w:val="24"/>
                <w:szCs w:val="24"/>
              </w:rPr>
              <w:t>II.2</w:t>
            </w:r>
          </w:p>
        </w:tc>
        <w:tc>
          <w:tcPr>
            <w:tcW w:w="12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Công trình luyện kim và cơ khí chế tạo</w:t>
            </w:r>
          </w:p>
        </w:tc>
        <w:tc>
          <w:tcPr>
            <w:tcW w:w="23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p>
        </w:tc>
        <w:tc>
          <w:tcPr>
            <w:tcW w:w="915"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Cấp III trở lên</w:t>
            </w:r>
          </w:p>
        </w:tc>
      </w:tr>
      <w:tr w:rsidR="00BE144C" w:rsidRPr="00BE144C" w:rsidTr="003F6B5F">
        <w:trPr>
          <w:trHeight w:val="20"/>
        </w:trPr>
        <w:tc>
          <w:tcPr>
            <w:tcW w:w="469" w:type="pct"/>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r w:rsidRPr="00BE144C">
              <w:rPr>
                <w:rFonts w:ascii="Times New Roman" w:eastAsia="Times New Roman" w:hAnsi="Times New Roman"/>
                <w:sz w:val="24"/>
                <w:szCs w:val="24"/>
              </w:rPr>
              <w:t>II.3</w:t>
            </w:r>
          </w:p>
        </w:tc>
        <w:tc>
          <w:tcPr>
            <w:tcW w:w="12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Công trình khai thác mỏ và chế biến khoáng sản</w:t>
            </w:r>
          </w:p>
        </w:tc>
        <w:tc>
          <w:tcPr>
            <w:tcW w:w="23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p>
        </w:tc>
        <w:tc>
          <w:tcPr>
            <w:tcW w:w="915"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Cấp III trở lên</w:t>
            </w:r>
          </w:p>
        </w:tc>
      </w:tr>
      <w:tr w:rsidR="00BE144C" w:rsidRPr="00BE144C" w:rsidTr="003F6B5F">
        <w:trPr>
          <w:trHeight w:val="20"/>
        </w:trPr>
        <w:tc>
          <w:tcPr>
            <w:tcW w:w="469" w:type="pct"/>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r w:rsidRPr="00BE144C">
              <w:rPr>
                <w:rFonts w:ascii="Times New Roman" w:eastAsia="Times New Roman" w:hAnsi="Times New Roman"/>
                <w:sz w:val="24"/>
                <w:szCs w:val="24"/>
              </w:rPr>
              <w:t>II.4</w:t>
            </w:r>
          </w:p>
        </w:tc>
        <w:tc>
          <w:tcPr>
            <w:tcW w:w="12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Công trình dầu khí</w:t>
            </w:r>
          </w:p>
        </w:tc>
        <w:tc>
          <w:tcPr>
            <w:tcW w:w="23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p>
        </w:tc>
        <w:tc>
          <w:tcPr>
            <w:tcW w:w="915"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Cấp III trở lên</w:t>
            </w:r>
          </w:p>
        </w:tc>
      </w:tr>
      <w:tr w:rsidR="00BE144C" w:rsidRPr="00BE144C" w:rsidTr="003F6B5F">
        <w:trPr>
          <w:trHeight w:val="20"/>
        </w:trPr>
        <w:tc>
          <w:tcPr>
            <w:tcW w:w="469" w:type="pct"/>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r w:rsidRPr="00BE144C">
              <w:rPr>
                <w:rFonts w:ascii="Times New Roman" w:eastAsia="Times New Roman" w:hAnsi="Times New Roman"/>
                <w:sz w:val="24"/>
                <w:szCs w:val="24"/>
              </w:rPr>
              <w:t>II.5</w:t>
            </w:r>
          </w:p>
        </w:tc>
        <w:tc>
          <w:tcPr>
            <w:tcW w:w="12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Công trình năng lượng</w:t>
            </w:r>
          </w:p>
        </w:tc>
        <w:tc>
          <w:tcPr>
            <w:tcW w:w="23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p>
        </w:tc>
        <w:tc>
          <w:tcPr>
            <w:tcW w:w="915"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Cấp III trở lên</w:t>
            </w:r>
          </w:p>
        </w:tc>
      </w:tr>
      <w:tr w:rsidR="00BE144C" w:rsidRPr="00BE144C" w:rsidTr="003F6B5F">
        <w:trPr>
          <w:trHeight w:val="20"/>
        </w:trPr>
        <w:tc>
          <w:tcPr>
            <w:tcW w:w="469" w:type="pct"/>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r w:rsidRPr="00BE144C">
              <w:rPr>
                <w:rFonts w:ascii="Times New Roman" w:eastAsia="Times New Roman" w:hAnsi="Times New Roman"/>
                <w:sz w:val="24"/>
                <w:szCs w:val="24"/>
              </w:rPr>
              <w:t>II.6</w:t>
            </w:r>
          </w:p>
        </w:tc>
        <w:tc>
          <w:tcPr>
            <w:tcW w:w="12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Công trình hóa chất</w:t>
            </w:r>
          </w:p>
        </w:tc>
        <w:tc>
          <w:tcPr>
            <w:tcW w:w="23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p>
        </w:tc>
        <w:tc>
          <w:tcPr>
            <w:tcW w:w="915"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Cấp III trở lên</w:t>
            </w:r>
          </w:p>
        </w:tc>
      </w:tr>
      <w:tr w:rsidR="00BE144C" w:rsidRPr="00BE144C" w:rsidTr="003F6B5F">
        <w:trPr>
          <w:trHeight w:val="20"/>
        </w:trPr>
        <w:tc>
          <w:tcPr>
            <w:tcW w:w="469" w:type="pct"/>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r w:rsidRPr="00BE144C">
              <w:rPr>
                <w:rFonts w:ascii="Times New Roman" w:eastAsia="Times New Roman" w:hAnsi="Times New Roman"/>
                <w:sz w:val="24"/>
                <w:szCs w:val="24"/>
              </w:rPr>
              <w:t>II.7</w:t>
            </w:r>
          </w:p>
        </w:tc>
        <w:tc>
          <w:tcPr>
            <w:tcW w:w="12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Công trình công nghiệp nhẹ</w:t>
            </w:r>
          </w:p>
        </w:tc>
        <w:tc>
          <w:tcPr>
            <w:tcW w:w="23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p>
        </w:tc>
        <w:tc>
          <w:tcPr>
            <w:tcW w:w="915"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Cấp III trở lên</w:t>
            </w:r>
          </w:p>
        </w:tc>
      </w:tr>
      <w:tr w:rsidR="00BE144C" w:rsidRPr="00BE144C" w:rsidTr="003F6B5F">
        <w:trPr>
          <w:trHeight w:val="20"/>
        </w:trPr>
        <w:tc>
          <w:tcPr>
            <w:tcW w:w="469" w:type="pct"/>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r w:rsidRPr="00BE144C">
              <w:rPr>
                <w:rFonts w:ascii="Times New Roman" w:eastAsia="Times New Roman" w:hAnsi="Times New Roman"/>
                <w:b/>
                <w:bCs/>
                <w:sz w:val="24"/>
                <w:szCs w:val="24"/>
              </w:rPr>
              <w:t>III</w:t>
            </w:r>
          </w:p>
        </w:tc>
        <w:tc>
          <w:tcPr>
            <w:tcW w:w="4531" w:type="pct"/>
            <w:gridSpan w:val="3"/>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b/>
                <w:bCs/>
                <w:sz w:val="24"/>
                <w:szCs w:val="24"/>
              </w:rPr>
              <w:t>CÔNG TRÌNH HẠ TẦNG KỸ THUẬT</w:t>
            </w:r>
          </w:p>
        </w:tc>
      </w:tr>
      <w:tr w:rsidR="00BE144C" w:rsidRPr="00BE144C" w:rsidTr="003F6B5F">
        <w:trPr>
          <w:trHeight w:val="20"/>
        </w:trPr>
        <w:tc>
          <w:tcPr>
            <w:tcW w:w="469" w:type="pct"/>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r w:rsidRPr="00BE144C">
              <w:rPr>
                <w:rFonts w:ascii="Times New Roman" w:eastAsia="Times New Roman" w:hAnsi="Times New Roman"/>
                <w:sz w:val="24"/>
                <w:szCs w:val="24"/>
              </w:rPr>
              <w:t>III.1</w:t>
            </w:r>
          </w:p>
        </w:tc>
        <w:tc>
          <w:tcPr>
            <w:tcW w:w="12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Công trình cấp nước</w:t>
            </w:r>
          </w:p>
        </w:tc>
        <w:tc>
          <w:tcPr>
            <w:tcW w:w="23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p>
        </w:tc>
        <w:tc>
          <w:tcPr>
            <w:tcW w:w="915"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Cấp II trở lên</w:t>
            </w:r>
          </w:p>
        </w:tc>
      </w:tr>
      <w:tr w:rsidR="00BE144C" w:rsidRPr="00BE144C" w:rsidTr="003F6B5F">
        <w:trPr>
          <w:trHeight w:val="20"/>
        </w:trPr>
        <w:tc>
          <w:tcPr>
            <w:tcW w:w="469" w:type="pct"/>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r w:rsidRPr="00BE144C">
              <w:rPr>
                <w:rFonts w:ascii="Times New Roman" w:eastAsia="Times New Roman" w:hAnsi="Times New Roman"/>
                <w:sz w:val="24"/>
                <w:szCs w:val="24"/>
              </w:rPr>
              <w:t>III.2</w:t>
            </w:r>
          </w:p>
        </w:tc>
        <w:tc>
          <w:tcPr>
            <w:tcW w:w="12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Công trình thoát nước</w:t>
            </w:r>
          </w:p>
        </w:tc>
        <w:tc>
          <w:tcPr>
            <w:tcW w:w="23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p>
        </w:tc>
        <w:tc>
          <w:tcPr>
            <w:tcW w:w="915"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Cấp II trở lên</w:t>
            </w:r>
          </w:p>
        </w:tc>
      </w:tr>
      <w:tr w:rsidR="00BE144C" w:rsidRPr="00BE144C" w:rsidTr="003F6B5F">
        <w:trPr>
          <w:trHeight w:val="20"/>
        </w:trPr>
        <w:tc>
          <w:tcPr>
            <w:tcW w:w="469" w:type="pct"/>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r w:rsidRPr="00BE144C">
              <w:rPr>
                <w:rFonts w:ascii="Times New Roman" w:eastAsia="Times New Roman" w:hAnsi="Times New Roman"/>
                <w:sz w:val="24"/>
                <w:szCs w:val="24"/>
              </w:rPr>
              <w:t>III.3</w:t>
            </w:r>
          </w:p>
        </w:tc>
        <w:tc>
          <w:tcPr>
            <w:tcW w:w="12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Công trình xử lý chất thải rắn</w:t>
            </w:r>
          </w:p>
        </w:tc>
        <w:tc>
          <w:tcPr>
            <w:tcW w:w="23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p>
        </w:tc>
        <w:tc>
          <w:tcPr>
            <w:tcW w:w="915"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Cấp II trở lên</w:t>
            </w:r>
          </w:p>
        </w:tc>
      </w:tr>
      <w:tr w:rsidR="00BE144C" w:rsidRPr="00BE144C" w:rsidTr="003F6B5F">
        <w:trPr>
          <w:trHeight w:val="20"/>
        </w:trPr>
        <w:tc>
          <w:tcPr>
            <w:tcW w:w="469" w:type="pct"/>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r w:rsidRPr="00BE144C">
              <w:rPr>
                <w:rFonts w:ascii="Times New Roman" w:eastAsia="Times New Roman" w:hAnsi="Times New Roman"/>
                <w:sz w:val="24"/>
                <w:szCs w:val="24"/>
              </w:rPr>
              <w:t>III.4</w:t>
            </w:r>
          </w:p>
        </w:tc>
        <w:tc>
          <w:tcPr>
            <w:tcW w:w="12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Công trình hạ tầng kỹ thuật viễn thông thụ động</w:t>
            </w:r>
          </w:p>
        </w:tc>
        <w:tc>
          <w:tcPr>
            <w:tcW w:w="23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Nhà, trạm viễn thông, cột ăng ten, cột treo cáp</w:t>
            </w:r>
          </w:p>
        </w:tc>
        <w:tc>
          <w:tcPr>
            <w:tcW w:w="915"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Cấp III trở lên</w:t>
            </w:r>
          </w:p>
        </w:tc>
      </w:tr>
      <w:tr w:rsidR="00BE144C" w:rsidRPr="00BE144C" w:rsidTr="003F6B5F">
        <w:trPr>
          <w:trHeight w:val="20"/>
        </w:trPr>
        <w:tc>
          <w:tcPr>
            <w:tcW w:w="469" w:type="pct"/>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r w:rsidRPr="00BE144C">
              <w:rPr>
                <w:rFonts w:ascii="Times New Roman" w:eastAsia="Times New Roman" w:hAnsi="Times New Roman"/>
                <w:sz w:val="24"/>
                <w:szCs w:val="24"/>
              </w:rPr>
              <w:t>III.5</w:t>
            </w:r>
          </w:p>
        </w:tc>
        <w:tc>
          <w:tcPr>
            <w:tcW w:w="12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Nhà tang lễ; cơ sở hỏa táng</w:t>
            </w:r>
          </w:p>
        </w:tc>
        <w:tc>
          <w:tcPr>
            <w:tcW w:w="23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p>
        </w:tc>
        <w:tc>
          <w:tcPr>
            <w:tcW w:w="915"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Cấp II trở lên</w:t>
            </w:r>
          </w:p>
        </w:tc>
      </w:tr>
      <w:tr w:rsidR="00BE144C" w:rsidRPr="00BE144C" w:rsidTr="003F6B5F">
        <w:trPr>
          <w:trHeight w:val="20"/>
        </w:trPr>
        <w:tc>
          <w:tcPr>
            <w:tcW w:w="469" w:type="pct"/>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r w:rsidRPr="00BE144C">
              <w:rPr>
                <w:rFonts w:ascii="Times New Roman" w:eastAsia="Times New Roman" w:hAnsi="Times New Roman"/>
                <w:sz w:val="24"/>
                <w:szCs w:val="24"/>
              </w:rPr>
              <w:t>III.6</w:t>
            </w:r>
          </w:p>
        </w:tc>
        <w:tc>
          <w:tcPr>
            <w:tcW w:w="12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Nhà để xe (ngầm và nổi) Cống, bể, hào, hầm tuy nen kỹ thuật</w:t>
            </w:r>
          </w:p>
        </w:tc>
        <w:tc>
          <w:tcPr>
            <w:tcW w:w="23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p>
        </w:tc>
        <w:tc>
          <w:tcPr>
            <w:tcW w:w="915"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Cấp II trở lên</w:t>
            </w:r>
          </w:p>
        </w:tc>
      </w:tr>
      <w:tr w:rsidR="00BE144C" w:rsidRPr="00BE144C" w:rsidTr="003F6B5F">
        <w:trPr>
          <w:trHeight w:val="20"/>
        </w:trPr>
        <w:tc>
          <w:tcPr>
            <w:tcW w:w="469" w:type="pct"/>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r w:rsidRPr="00BE144C">
              <w:rPr>
                <w:rFonts w:ascii="Times New Roman" w:eastAsia="Times New Roman" w:hAnsi="Times New Roman"/>
                <w:b/>
                <w:bCs/>
                <w:sz w:val="24"/>
                <w:szCs w:val="24"/>
              </w:rPr>
              <w:t>IV</w:t>
            </w:r>
          </w:p>
        </w:tc>
        <w:tc>
          <w:tcPr>
            <w:tcW w:w="4531" w:type="pct"/>
            <w:gridSpan w:val="3"/>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b/>
                <w:bCs/>
                <w:sz w:val="24"/>
                <w:szCs w:val="24"/>
              </w:rPr>
              <w:t>CÔNG TRÌNH GIAO THÔNG</w:t>
            </w:r>
          </w:p>
        </w:tc>
      </w:tr>
      <w:tr w:rsidR="00BE144C" w:rsidRPr="00BE144C" w:rsidTr="003F6B5F">
        <w:trPr>
          <w:trHeight w:val="20"/>
        </w:trPr>
        <w:tc>
          <w:tcPr>
            <w:tcW w:w="469" w:type="pct"/>
            <w:vMerge w:val="restart"/>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r w:rsidRPr="00BE144C">
              <w:rPr>
                <w:rFonts w:ascii="Times New Roman" w:eastAsia="Times New Roman" w:hAnsi="Times New Roman"/>
                <w:sz w:val="24"/>
                <w:szCs w:val="24"/>
              </w:rPr>
              <w:t>IV.1</w:t>
            </w:r>
          </w:p>
        </w:tc>
        <w:tc>
          <w:tcPr>
            <w:tcW w:w="1258" w:type="pct"/>
            <w:vMerge w:val="restar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Đường bộ</w:t>
            </w:r>
          </w:p>
        </w:tc>
        <w:tc>
          <w:tcPr>
            <w:tcW w:w="23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Đường ô tô cao tốc</w:t>
            </w:r>
          </w:p>
        </w:tc>
        <w:tc>
          <w:tcPr>
            <w:tcW w:w="915" w:type="pct"/>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r w:rsidRPr="00BE144C">
              <w:rPr>
                <w:rFonts w:ascii="Times New Roman" w:eastAsia="Times New Roman" w:hAnsi="Times New Roman"/>
                <w:sz w:val="24"/>
                <w:szCs w:val="24"/>
              </w:rPr>
              <w:t>Mọi cấp</w:t>
            </w:r>
          </w:p>
        </w:tc>
      </w:tr>
      <w:tr w:rsidR="00BE144C" w:rsidRPr="00BE144C" w:rsidTr="003F6B5F">
        <w:trPr>
          <w:trHeight w:val="20"/>
        </w:trPr>
        <w:tc>
          <w:tcPr>
            <w:tcW w:w="469" w:type="pct"/>
            <w:vMerge/>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p>
        </w:tc>
        <w:tc>
          <w:tcPr>
            <w:tcW w:w="1258" w:type="pct"/>
            <w:vMerge/>
            <w:shd w:val="clear" w:color="auto" w:fill="auto"/>
            <w:vAlign w:val="center"/>
          </w:tcPr>
          <w:p w:rsidR="00BE144C" w:rsidRPr="00BE144C" w:rsidRDefault="00BE144C" w:rsidP="003F6B5F">
            <w:pPr>
              <w:spacing w:before="120"/>
              <w:rPr>
                <w:rFonts w:ascii="Times New Roman" w:eastAsia="Times New Roman" w:hAnsi="Times New Roman"/>
                <w:sz w:val="24"/>
                <w:szCs w:val="24"/>
              </w:rPr>
            </w:pPr>
          </w:p>
        </w:tc>
        <w:tc>
          <w:tcPr>
            <w:tcW w:w="23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Đường ô tô, đường trong đô thị</w:t>
            </w:r>
          </w:p>
        </w:tc>
        <w:tc>
          <w:tcPr>
            <w:tcW w:w="915"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Cấp III trở lên</w:t>
            </w:r>
          </w:p>
        </w:tc>
      </w:tr>
      <w:tr w:rsidR="00BE144C" w:rsidRPr="00BE144C" w:rsidTr="003F6B5F">
        <w:trPr>
          <w:trHeight w:val="20"/>
        </w:trPr>
        <w:tc>
          <w:tcPr>
            <w:tcW w:w="469" w:type="pct"/>
            <w:vMerge/>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p>
        </w:tc>
        <w:tc>
          <w:tcPr>
            <w:tcW w:w="1258" w:type="pct"/>
            <w:vMerge/>
            <w:shd w:val="clear" w:color="auto" w:fill="auto"/>
            <w:vAlign w:val="center"/>
          </w:tcPr>
          <w:p w:rsidR="00BE144C" w:rsidRPr="00BE144C" w:rsidRDefault="00BE144C" w:rsidP="003F6B5F">
            <w:pPr>
              <w:spacing w:before="120"/>
              <w:rPr>
                <w:rFonts w:ascii="Times New Roman" w:eastAsia="Times New Roman" w:hAnsi="Times New Roman"/>
                <w:sz w:val="24"/>
                <w:szCs w:val="24"/>
              </w:rPr>
            </w:pPr>
          </w:p>
        </w:tc>
        <w:tc>
          <w:tcPr>
            <w:tcW w:w="23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Bến phà</w:t>
            </w:r>
          </w:p>
        </w:tc>
        <w:tc>
          <w:tcPr>
            <w:tcW w:w="915"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Cấp III trở lên</w:t>
            </w:r>
          </w:p>
        </w:tc>
      </w:tr>
      <w:tr w:rsidR="00BE144C" w:rsidRPr="00BE144C" w:rsidTr="003F6B5F">
        <w:trPr>
          <w:trHeight w:val="20"/>
        </w:trPr>
        <w:tc>
          <w:tcPr>
            <w:tcW w:w="469" w:type="pct"/>
            <w:vMerge/>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p>
        </w:tc>
        <w:tc>
          <w:tcPr>
            <w:tcW w:w="1258" w:type="pct"/>
            <w:vMerge/>
            <w:shd w:val="clear" w:color="auto" w:fill="auto"/>
            <w:vAlign w:val="center"/>
          </w:tcPr>
          <w:p w:rsidR="00BE144C" w:rsidRPr="00BE144C" w:rsidRDefault="00BE144C" w:rsidP="003F6B5F">
            <w:pPr>
              <w:spacing w:before="120"/>
              <w:rPr>
                <w:rFonts w:ascii="Times New Roman" w:eastAsia="Times New Roman" w:hAnsi="Times New Roman"/>
                <w:sz w:val="24"/>
                <w:szCs w:val="24"/>
              </w:rPr>
            </w:pPr>
          </w:p>
        </w:tc>
        <w:tc>
          <w:tcPr>
            <w:tcW w:w="23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Bến xe; cơ sở đăng kiểm phương tiện giao thông đường bộ; trạm thu phí; trạm dừng nghỉ</w:t>
            </w:r>
          </w:p>
        </w:tc>
        <w:tc>
          <w:tcPr>
            <w:tcW w:w="915"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Cấp III trở lên</w:t>
            </w:r>
          </w:p>
        </w:tc>
      </w:tr>
      <w:tr w:rsidR="00BE144C" w:rsidRPr="00BE144C" w:rsidTr="003F6B5F">
        <w:trPr>
          <w:trHeight w:val="20"/>
        </w:trPr>
        <w:tc>
          <w:tcPr>
            <w:tcW w:w="469" w:type="pct"/>
            <w:vMerge/>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p>
        </w:tc>
        <w:tc>
          <w:tcPr>
            <w:tcW w:w="1258" w:type="pct"/>
            <w:vMerge w:val="restar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Đường sắt</w:t>
            </w:r>
          </w:p>
        </w:tc>
        <w:tc>
          <w:tcPr>
            <w:tcW w:w="23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 xml:space="preserve">Đường sắt cao tốc, đường sắt tốc độ cao, đường sắt đô thị (đường sắt trên cao, </w:t>
            </w:r>
            <w:r w:rsidRPr="00BE144C">
              <w:rPr>
                <w:rFonts w:ascii="Times New Roman" w:eastAsia="Times New Roman" w:hAnsi="Times New Roman"/>
                <w:sz w:val="24"/>
                <w:szCs w:val="24"/>
              </w:rPr>
              <w:lastRenderedPageBreak/>
              <w:t>đường tầu điện ngầm/Metro); đường sắt quốc gia; đường sắt chuyên dụng và đường sắt địa phương</w:t>
            </w:r>
          </w:p>
        </w:tc>
        <w:tc>
          <w:tcPr>
            <w:tcW w:w="915" w:type="pct"/>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r w:rsidRPr="00BE144C">
              <w:rPr>
                <w:rFonts w:ascii="Times New Roman" w:eastAsia="Times New Roman" w:hAnsi="Times New Roman"/>
                <w:sz w:val="24"/>
                <w:szCs w:val="24"/>
              </w:rPr>
              <w:lastRenderedPageBreak/>
              <w:t>Mọi cấp</w:t>
            </w:r>
          </w:p>
        </w:tc>
      </w:tr>
      <w:tr w:rsidR="00BE144C" w:rsidRPr="00BE144C" w:rsidTr="003F6B5F">
        <w:trPr>
          <w:trHeight w:val="20"/>
        </w:trPr>
        <w:tc>
          <w:tcPr>
            <w:tcW w:w="469" w:type="pct"/>
            <w:vMerge/>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p>
        </w:tc>
        <w:tc>
          <w:tcPr>
            <w:tcW w:w="1258" w:type="pct"/>
            <w:vMerge/>
            <w:shd w:val="clear" w:color="auto" w:fill="auto"/>
            <w:vAlign w:val="center"/>
          </w:tcPr>
          <w:p w:rsidR="00BE144C" w:rsidRPr="00BE144C" w:rsidRDefault="00BE144C" w:rsidP="003F6B5F">
            <w:pPr>
              <w:spacing w:before="120"/>
              <w:rPr>
                <w:rFonts w:ascii="Times New Roman" w:eastAsia="Times New Roman" w:hAnsi="Times New Roman"/>
                <w:sz w:val="24"/>
                <w:szCs w:val="24"/>
              </w:rPr>
            </w:pPr>
          </w:p>
        </w:tc>
        <w:tc>
          <w:tcPr>
            <w:tcW w:w="23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Ga hành khách</w:t>
            </w:r>
          </w:p>
        </w:tc>
        <w:tc>
          <w:tcPr>
            <w:tcW w:w="915"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Cấp III trở lên</w:t>
            </w:r>
          </w:p>
        </w:tc>
      </w:tr>
      <w:tr w:rsidR="00BE144C" w:rsidRPr="00BE144C" w:rsidTr="003F6B5F">
        <w:trPr>
          <w:trHeight w:val="20"/>
        </w:trPr>
        <w:tc>
          <w:tcPr>
            <w:tcW w:w="469" w:type="pct"/>
            <w:vMerge/>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p>
        </w:tc>
        <w:tc>
          <w:tcPr>
            <w:tcW w:w="12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Cầu</w:t>
            </w:r>
          </w:p>
        </w:tc>
        <w:tc>
          <w:tcPr>
            <w:tcW w:w="23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Cầu đường bộ, cầu bộ hành, cầu đường sắt, cầu phao</w:t>
            </w:r>
          </w:p>
        </w:tc>
        <w:tc>
          <w:tcPr>
            <w:tcW w:w="915"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Cấp III trở lên</w:t>
            </w:r>
          </w:p>
        </w:tc>
      </w:tr>
      <w:tr w:rsidR="00BE144C" w:rsidRPr="00BE144C" w:rsidTr="003F6B5F">
        <w:trPr>
          <w:trHeight w:val="20"/>
        </w:trPr>
        <w:tc>
          <w:tcPr>
            <w:tcW w:w="469" w:type="pct"/>
            <w:vMerge/>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p>
        </w:tc>
        <w:tc>
          <w:tcPr>
            <w:tcW w:w="1258" w:type="pct"/>
            <w:vMerge w:val="restar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Hầm</w:t>
            </w:r>
          </w:p>
        </w:tc>
        <w:tc>
          <w:tcPr>
            <w:tcW w:w="23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Hầm đường ô tô, hầm đường sắt, hầm cho người đi bộ</w:t>
            </w:r>
          </w:p>
        </w:tc>
        <w:tc>
          <w:tcPr>
            <w:tcW w:w="915"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Cấp III trở lên</w:t>
            </w:r>
          </w:p>
        </w:tc>
      </w:tr>
      <w:tr w:rsidR="00BE144C" w:rsidRPr="00BE144C" w:rsidTr="003F6B5F">
        <w:trPr>
          <w:trHeight w:val="20"/>
        </w:trPr>
        <w:tc>
          <w:tcPr>
            <w:tcW w:w="469" w:type="pct"/>
            <w:vMerge/>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p>
        </w:tc>
        <w:tc>
          <w:tcPr>
            <w:tcW w:w="1258" w:type="pct"/>
            <w:vMerge/>
            <w:shd w:val="clear" w:color="auto" w:fill="auto"/>
            <w:vAlign w:val="center"/>
          </w:tcPr>
          <w:p w:rsidR="00BE144C" w:rsidRPr="00BE144C" w:rsidRDefault="00BE144C" w:rsidP="003F6B5F">
            <w:pPr>
              <w:spacing w:before="120"/>
              <w:rPr>
                <w:rFonts w:ascii="Times New Roman" w:eastAsia="Times New Roman" w:hAnsi="Times New Roman"/>
                <w:sz w:val="24"/>
                <w:szCs w:val="24"/>
              </w:rPr>
            </w:pPr>
          </w:p>
        </w:tc>
        <w:tc>
          <w:tcPr>
            <w:tcW w:w="23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Hầm tàu điện ngầm (Metro)</w:t>
            </w:r>
          </w:p>
        </w:tc>
        <w:tc>
          <w:tcPr>
            <w:tcW w:w="915" w:type="pct"/>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r w:rsidRPr="00BE144C">
              <w:rPr>
                <w:rFonts w:ascii="Times New Roman" w:eastAsia="Times New Roman" w:hAnsi="Times New Roman"/>
                <w:sz w:val="24"/>
                <w:szCs w:val="24"/>
              </w:rPr>
              <w:t>Mọi cấp</w:t>
            </w:r>
          </w:p>
        </w:tc>
      </w:tr>
      <w:tr w:rsidR="00BE144C" w:rsidRPr="00BE144C" w:rsidTr="003F6B5F">
        <w:trPr>
          <w:trHeight w:val="20"/>
        </w:trPr>
        <w:tc>
          <w:tcPr>
            <w:tcW w:w="469" w:type="pct"/>
            <w:vMerge w:val="restart"/>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r w:rsidRPr="00BE144C">
              <w:rPr>
                <w:rFonts w:ascii="Times New Roman" w:eastAsia="Times New Roman" w:hAnsi="Times New Roman"/>
                <w:sz w:val="24"/>
                <w:szCs w:val="24"/>
              </w:rPr>
              <w:t>IV.2</w:t>
            </w:r>
          </w:p>
        </w:tc>
        <w:tc>
          <w:tcPr>
            <w:tcW w:w="1258" w:type="pct"/>
            <w:vMerge w:val="restar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Công trình đường thủy nội địa</w:t>
            </w:r>
          </w:p>
        </w:tc>
        <w:tc>
          <w:tcPr>
            <w:tcW w:w="23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Cảng, bến thủy nội địa (cho hành khách)</w:t>
            </w:r>
          </w:p>
        </w:tc>
        <w:tc>
          <w:tcPr>
            <w:tcW w:w="915"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Cấp II trở lên</w:t>
            </w:r>
          </w:p>
        </w:tc>
      </w:tr>
      <w:tr w:rsidR="00BE144C" w:rsidRPr="00BE144C" w:rsidTr="003F6B5F">
        <w:trPr>
          <w:trHeight w:val="20"/>
        </w:trPr>
        <w:tc>
          <w:tcPr>
            <w:tcW w:w="469" w:type="pct"/>
            <w:vMerge/>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p>
        </w:tc>
        <w:tc>
          <w:tcPr>
            <w:tcW w:w="1258" w:type="pct"/>
            <w:vMerge/>
            <w:shd w:val="clear" w:color="auto" w:fill="auto"/>
            <w:vAlign w:val="center"/>
          </w:tcPr>
          <w:p w:rsidR="00BE144C" w:rsidRPr="00BE144C" w:rsidRDefault="00BE144C" w:rsidP="003F6B5F">
            <w:pPr>
              <w:spacing w:before="120"/>
              <w:rPr>
                <w:rFonts w:ascii="Times New Roman" w:eastAsia="Times New Roman" w:hAnsi="Times New Roman"/>
                <w:sz w:val="24"/>
                <w:szCs w:val="24"/>
              </w:rPr>
            </w:pPr>
          </w:p>
        </w:tc>
        <w:tc>
          <w:tcPr>
            <w:tcW w:w="23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Đường thủy có bề rộng (B) và độ sâu (H) nước chạy tầu (bao gồm cả phao tiêu, công trình chính trị)</w:t>
            </w:r>
          </w:p>
        </w:tc>
        <w:tc>
          <w:tcPr>
            <w:tcW w:w="915"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Cấp II trở lên</w:t>
            </w:r>
          </w:p>
        </w:tc>
      </w:tr>
      <w:tr w:rsidR="00BE144C" w:rsidRPr="00BE144C" w:rsidTr="003F6B5F">
        <w:trPr>
          <w:trHeight w:val="20"/>
        </w:trPr>
        <w:tc>
          <w:tcPr>
            <w:tcW w:w="469" w:type="pct"/>
            <w:vMerge w:val="restart"/>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r w:rsidRPr="00BE144C">
              <w:rPr>
                <w:rFonts w:ascii="Times New Roman" w:eastAsia="Times New Roman" w:hAnsi="Times New Roman"/>
                <w:sz w:val="24"/>
                <w:szCs w:val="24"/>
              </w:rPr>
              <w:t>IV.3</w:t>
            </w:r>
          </w:p>
        </w:tc>
        <w:tc>
          <w:tcPr>
            <w:tcW w:w="1258" w:type="pct"/>
            <w:vMerge w:val="restar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Công trình hàng hải</w:t>
            </w:r>
          </w:p>
        </w:tc>
        <w:tc>
          <w:tcPr>
            <w:tcW w:w="23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Bến/cảng biển, bến phà (cho hành khách)</w:t>
            </w:r>
          </w:p>
        </w:tc>
        <w:tc>
          <w:tcPr>
            <w:tcW w:w="915"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Cấp III trở lên</w:t>
            </w:r>
          </w:p>
        </w:tc>
      </w:tr>
      <w:tr w:rsidR="00BE144C" w:rsidRPr="00BE144C" w:rsidTr="003F6B5F">
        <w:trPr>
          <w:trHeight w:val="20"/>
        </w:trPr>
        <w:tc>
          <w:tcPr>
            <w:tcW w:w="469" w:type="pct"/>
            <w:vMerge/>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p>
        </w:tc>
        <w:tc>
          <w:tcPr>
            <w:tcW w:w="1258" w:type="pct"/>
            <w:vMerge/>
            <w:shd w:val="clear" w:color="auto" w:fill="auto"/>
            <w:vAlign w:val="center"/>
          </w:tcPr>
          <w:p w:rsidR="00BE144C" w:rsidRPr="00BE144C" w:rsidRDefault="00BE144C" w:rsidP="003F6B5F">
            <w:pPr>
              <w:spacing w:before="120"/>
              <w:rPr>
                <w:rFonts w:ascii="Times New Roman" w:eastAsia="Times New Roman" w:hAnsi="Times New Roman"/>
                <w:sz w:val="24"/>
                <w:szCs w:val="24"/>
              </w:rPr>
            </w:pPr>
          </w:p>
        </w:tc>
        <w:tc>
          <w:tcPr>
            <w:tcW w:w="23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Các công trình hàng hải khác</w:t>
            </w:r>
          </w:p>
        </w:tc>
        <w:tc>
          <w:tcPr>
            <w:tcW w:w="915"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Cấp II trở lên</w:t>
            </w:r>
          </w:p>
        </w:tc>
      </w:tr>
      <w:tr w:rsidR="00BE144C" w:rsidRPr="00BE144C" w:rsidTr="003F6B5F">
        <w:trPr>
          <w:trHeight w:val="20"/>
        </w:trPr>
        <w:tc>
          <w:tcPr>
            <w:tcW w:w="469" w:type="pct"/>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r w:rsidRPr="00BE144C">
              <w:rPr>
                <w:rFonts w:ascii="Times New Roman" w:eastAsia="Times New Roman" w:hAnsi="Times New Roman"/>
                <w:sz w:val="24"/>
                <w:szCs w:val="24"/>
              </w:rPr>
              <w:t>IV.4</w:t>
            </w:r>
          </w:p>
        </w:tc>
        <w:tc>
          <w:tcPr>
            <w:tcW w:w="12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Công trình hàng không</w:t>
            </w:r>
          </w:p>
        </w:tc>
        <w:tc>
          <w:tcPr>
            <w:tcW w:w="23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Nhà ga hàng không; khu bay (bao gồm cả các công trình bảo đảm hoạt động bay)</w:t>
            </w:r>
          </w:p>
        </w:tc>
        <w:tc>
          <w:tcPr>
            <w:tcW w:w="915" w:type="pct"/>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r w:rsidRPr="00BE144C">
              <w:rPr>
                <w:rFonts w:ascii="Times New Roman" w:eastAsia="Times New Roman" w:hAnsi="Times New Roman"/>
                <w:sz w:val="24"/>
                <w:szCs w:val="24"/>
              </w:rPr>
              <w:t>Mọi cấp</w:t>
            </w:r>
          </w:p>
        </w:tc>
      </w:tr>
      <w:tr w:rsidR="00BE144C" w:rsidRPr="00BE144C" w:rsidTr="003F6B5F">
        <w:trPr>
          <w:trHeight w:val="20"/>
        </w:trPr>
        <w:tc>
          <w:tcPr>
            <w:tcW w:w="469" w:type="pct"/>
            <w:vMerge w:val="restart"/>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r w:rsidRPr="00BE144C">
              <w:rPr>
                <w:rFonts w:ascii="Times New Roman" w:eastAsia="Times New Roman" w:hAnsi="Times New Roman"/>
                <w:sz w:val="24"/>
                <w:szCs w:val="24"/>
              </w:rPr>
              <w:t>IV.5</w:t>
            </w:r>
          </w:p>
        </w:tc>
        <w:tc>
          <w:tcPr>
            <w:tcW w:w="1258" w:type="pct"/>
            <w:vMerge w:val="restar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Tuyến cáp treo và nhà ga</w:t>
            </w:r>
          </w:p>
        </w:tc>
        <w:tc>
          <w:tcPr>
            <w:tcW w:w="23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Để vận chuyển người</w:t>
            </w:r>
          </w:p>
        </w:tc>
        <w:tc>
          <w:tcPr>
            <w:tcW w:w="915" w:type="pct"/>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r w:rsidRPr="00BE144C">
              <w:rPr>
                <w:rFonts w:ascii="Times New Roman" w:eastAsia="Times New Roman" w:hAnsi="Times New Roman"/>
                <w:sz w:val="24"/>
                <w:szCs w:val="24"/>
              </w:rPr>
              <w:t>Mọi cấp</w:t>
            </w:r>
          </w:p>
        </w:tc>
      </w:tr>
      <w:tr w:rsidR="00BE144C" w:rsidRPr="00BE144C" w:rsidTr="003F6B5F">
        <w:trPr>
          <w:trHeight w:val="20"/>
        </w:trPr>
        <w:tc>
          <w:tcPr>
            <w:tcW w:w="469" w:type="pct"/>
            <w:vMerge/>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p>
        </w:tc>
        <w:tc>
          <w:tcPr>
            <w:tcW w:w="1258" w:type="pct"/>
            <w:vMerge/>
            <w:shd w:val="clear" w:color="auto" w:fill="auto"/>
            <w:vAlign w:val="center"/>
          </w:tcPr>
          <w:p w:rsidR="00BE144C" w:rsidRPr="00BE144C" w:rsidRDefault="00BE144C" w:rsidP="003F6B5F">
            <w:pPr>
              <w:spacing w:before="120"/>
              <w:rPr>
                <w:rFonts w:ascii="Times New Roman" w:eastAsia="Times New Roman" w:hAnsi="Times New Roman"/>
                <w:sz w:val="24"/>
                <w:szCs w:val="24"/>
              </w:rPr>
            </w:pPr>
          </w:p>
        </w:tc>
        <w:tc>
          <w:tcPr>
            <w:tcW w:w="23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Để vận chuyển hàng hóa</w:t>
            </w:r>
          </w:p>
        </w:tc>
        <w:tc>
          <w:tcPr>
            <w:tcW w:w="915"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Cấp II trở lên</w:t>
            </w:r>
          </w:p>
        </w:tc>
      </w:tr>
      <w:tr w:rsidR="00BE144C" w:rsidRPr="00BE144C" w:rsidTr="003F6B5F">
        <w:trPr>
          <w:trHeight w:val="20"/>
        </w:trPr>
        <w:tc>
          <w:tcPr>
            <w:tcW w:w="469" w:type="pct"/>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r w:rsidRPr="00BE144C">
              <w:rPr>
                <w:rFonts w:ascii="Times New Roman" w:eastAsia="Times New Roman" w:hAnsi="Times New Roman"/>
                <w:b/>
                <w:bCs/>
                <w:sz w:val="24"/>
                <w:szCs w:val="24"/>
              </w:rPr>
              <w:t>V</w:t>
            </w:r>
          </w:p>
        </w:tc>
        <w:tc>
          <w:tcPr>
            <w:tcW w:w="4531" w:type="pct"/>
            <w:gridSpan w:val="3"/>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b/>
                <w:bCs/>
                <w:sz w:val="24"/>
                <w:szCs w:val="24"/>
              </w:rPr>
              <w:t>CÔNG TRÌNH NÔNG NGHIỆP VÀ PHÁT TRIỂN NÔNG THÔN</w:t>
            </w:r>
          </w:p>
        </w:tc>
      </w:tr>
      <w:tr w:rsidR="00BE144C" w:rsidRPr="00BE144C" w:rsidTr="003F6B5F">
        <w:trPr>
          <w:trHeight w:val="20"/>
        </w:trPr>
        <w:tc>
          <w:tcPr>
            <w:tcW w:w="469" w:type="pct"/>
            <w:vMerge w:val="restart"/>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r w:rsidRPr="00BE144C">
              <w:rPr>
                <w:rFonts w:ascii="Times New Roman" w:eastAsia="Times New Roman" w:hAnsi="Times New Roman"/>
                <w:sz w:val="24"/>
                <w:szCs w:val="24"/>
              </w:rPr>
              <w:t>V.1</w:t>
            </w:r>
          </w:p>
        </w:tc>
        <w:tc>
          <w:tcPr>
            <w:tcW w:w="1258" w:type="pct"/>
            <w:vMerge w:val="restar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Công trình thủy lợi</w:t>
            </w:r>
          </w:p>
        </w:tc>
        <w:tc>
          <w:tcPr>
            <w:tcW w:w="23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Công trình cấp nước</w:t>
            </w:r>
          </w:p>
        </w:tc>
        <w:tc>
          <w:tcPr>
            <w:tcW w:w="915"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Cấp II trở lên</w:t>
            </w:r>
          </w:p>
        </w:tc>
      </w:tr>
      <w:tr w:rsidR="00BE144C" w:rsidRPr="00BE144C" w:rsidTr="003F6B5F">
        <w:trPr>
          <w:trHeight w:val="20"/>
        </w:trPr>
        <w:tc>
          <w:tcPr>
            <w:tcW w:w="469" w:type="pct"/>
            <w:vMerge/>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p>
        </w:tc>
        <w:tc>
          <w:tcPr>
            <w:tcW w:w="1258" w:type="pct"/>
            <w:vMerge/>
            <w:shd w:val="clear" w:color="auto" w:fill="auto"/>
            <w:vAlign w:val="center"/>
          </w:tcPr>
          <w:p w:rsidR="00BE144C" w:rsidRPr="00BE144C" w:rsidRDefault="00BE144C" w:rsidP="003F6B5F">
            <w:pPr>
              <w:spacing w:before="120"/>
              <w:rPr>
                <w:rFonts w:ascii="Times New Roman" w:eastAsia="Times New Roman" w:hAnsi="Times New Roman"/>
                <w:sz w:val="24"/>
                <w:szCs w:val="24"/>
              </w:rPr>
            </w:pPr>
          </w:p>
        </w:tc>
        <w:tc>
          <w:tcPr>
            <w:tcW w:w="23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Hồ chứa nước</w:t>
            </w:r>
          </w:p>
        </w:tc>
        <w:tc>
          <w:tcPr>
            <w:tcW w:w="915"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Cấp III trở lên</w:t>
            </w:r>
          </w:p>
        </w:tc>
      </w:tr>
      <w:tr w:rsidR="00BE144C" w:rsidRPr="00BE144C" w:rsidTr="003F6B5F">
        <w:trPr>
          <w:trHeight w:val="20"/>
        </w:trPr>
        <w:tc>
          <w:tcPr>
            <w:tcW w:w="469" w:type="pct"/>
            <w:vMerge/>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p>
        </w:tc>
        <w:tc>
          <w:tcPr>
            <w:tcW w:w="1258" w:type="pct"/>
            <w:vMerge/>
            <w:shd w:val="clear" w:color="auto" w:fill="auto"/>
            <w:vAlign w:val="center"/>
          </w:tcPr>
          <w:p w:rsidR="00BE144C" w:rsidRPr="00BE144C" w:rsidRDefault="00BE144C" w:rsidP="003F6B5F">
            <w:pPr>
              <w:spacing w:before="120"/>
              <w:rPr>
                <w:rFonts w:ascii="Times New Roman" w:eastAsia="Times New Roman" w:hAnsi="Times New Roman"/>
                <w:sz w:val="24"/>
                <w:szCs w:val="24"/>
              </w:rPr>
            </w:pPr>
          </w:p>
        </w:tc>
        <w:tc>
          <w:tcPr>
            <w:tcW w:w="23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Đập ngăn nước và các công trình thủy lợi chịu áp khác</w:t>
            </w:r>
          </w:p>
        </w:tc>
        <w:tc>
          <w:tcPr>
            <w:tcW w:w="915"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Cấp III trở lên</w:t>
            </w:r>
          </w:p>
        </w:tc>
      </w:tr>
      <w:tr w:rsidR="00BE144C" w:rsidRPr="00BE144C" w:rsidTr="003F6B5F">
        <w:trPr>
          <w:trHeight w:val="20"/>
        </w:trPr>
        <w:tc>
          <w:tcPr>
            <w:tcW w:w="469" w:type="pct"/>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r w:rsidRPr="00BE144C">
              <w:rPr>
                <w:rFonts w:ascii="Times New Roman" w:eastAsia="Times New Roman" w:hAnsi="Times New Roman"/>
                <w:sz w:val="24"/>
                <w:szCs w:val="24"/>
              </w:rPr>
              <w:t>V.2</w:t>
            </w:r>
          </w:p>
        </w:tc>
        <w:tc>
          <w:tcPr>
            <w:tcW w:w="12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r w:rsidRPr="00BE144C">
              <w:rPr>
                <w:rFonts w:ascii="Times New Roman" w:eastAsia="Times New Roman" w:hAnsi="Times New Roman"/>
                <w:sz w:val="24"/>
                <w:szCs w:val="24"/>
              </w:rPr>
              <w:t>Công trình đê điều</w:t>
            </w:r>
          </w:p>
        </w:tc>
        <w:tc>
          <w:tcPr>
            <w:tcW w:w="2358" w:type="pct"/>
            <w:shd w:val="clear" w:color="auto" w:fill="auto"/>
            <w:vAlign w:val="center"/>
          </w:tcPr>
          <w:p w:rsidR="00BE144C" w:rsidRPr="00BE144C" w:rsidRDefault="00BE144C" w:rsidP="003F6B5F">
            <w:pPr>
              <w:spacing w:before="120"/>
              <w:rPr>
                <w:rFonts w:ascii="Times New Roman" w:eastAsia="Times New Roman" w:hAnsi="Times New Roman"/>
                <w:sz w:val="24"/>
                <w:szCs w:val="24"/>
              </w:rPr>
            </w:pPr>
          </w:p>
        </w:tc>
        <w:tc>
          <w:tcPr>
            <w:tcW w:w="915" w:type="pct"/>
            <w:shd w:val="clear" w:color="auto" w:fill="auto"/>
            <w:vAlign w:val="center"/>
          </w:tcPr>
          <w:p w:rsidR="00BE144C" w:rsidRPr="00BE144C" w:rsidRDefault="00BE144C" w:rsidP="003F6B5F">
            <w:pPr>
              <w:spacing w:before="120"/>
              <w:jc w:val="center"/>
              <w:rPr>
                <w:rFonts w:ascii="Times New Roman" w:eastAsia="Times New Roman" w:hAnsi="Times New Roman"/>
                <w:sz w:val="24"/>
                <w:szCs w:val="24"/>
              </w:rPr>
            </w:pPr>
            <w:r w:rsidRPr="00BE144C">
              <w:rPr>
                <w:rFonts w:ascii="Times New Roman" w:eastAsia="Times New Roman" w:hAnsi="Times New Roman"/>
                <w:sz w:val="24"/>
                <w:szCs w:val="24"/>
              </w:rPr>
              <w:t>Mọi cấp</w:t>
            </w:r>
          </w:p>
        </w:tc>
      </w:tr>
    </w:tbl>
    <w:p w:rsidR="004E1A90" w:rsidRPr="00BE144C" w:rsidRDefault="00BE144C">
      <w:pPr>
        <w:rPr>
          <w:rFonts w:ascii="Times New Roman" w:hAnsi="Times New Roman"/>
          <w:sz w:val="24"/>
          <w:szCs w:val="24"/>
        </w:rPr>
      </w:pPr>
    </w:p>
    <w:sectPr w:rsidR="004E1A90" w:rsidRPr="00BE14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44C"/>
    <w:rsid w:val="00BE144C"/>
    <w:rsid w:val="00C579A7"/>
    <w:rsid w:val="00D1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F3CC5-E538-4DFE-B918-EC61B42D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44C"/>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2025-01-15T04:00:00Z</dcterms:created>
  <dcterms:modified xsi:type="dcterms:W3CDTF">2025-01-15T04:01:00Z</dcterms:modified>
</cp:coreProperties>
</file>