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312" w:before="120" w:after="120"/>
        <w:jc w:val="center"/>
        <w:rPr/>
      </w:pPr>
      <w:r>
        <w:rPr>
          <w:rFonts w:cs="Times New Roman" w:ascii="Times New Roman" w:hAnsi="Times New Roman"/>
          <w:b/>
          <w:bCs/>
          <w:lang w:val="vi-VN"/>
        </w:rPr>
        <w:t>COMPREHENSIVE UPDATE ON NEW REGULATIONS ON TAX DECLARATION, TAX REFUND, AND TAX ADMINISTR</w:t>
      </w:r>
      <w:bookmarkStart w:id="0" w:name="_GoBack"/>
      <w:bookmarkEnd w:id="0"/>
      <w:r>
        <w:rPr>
          <w:rFonts w:cs="Times New Roman" w:ascii="Times New Roman" w:hAnsi="Times New Roman"/>
          <w:b/>
          <w:bCs/>
          <w:lang w:val="vi-VN"/>
        </w:rPr>
        <w:t>ATION PROCEDURES FOR BUSINESS HOUSEHOLDS AND BUSINESS INDIVIDUALS PURSUANT TO CIRCULAR 50/2026/TT-BTC</w:t>
      </w:r>
    </w:p>
    <w:p>
      <w:pPr>
        <w:pStyle w:val="Normal"/>
        <w:spacing w:lineRule="auto" w:line="312" w:before="120" w:after="120"/>
        <w:jc w:val="both"/>
        <w:rPr/>
      </w:pPr>
      <w:r>
        <w:rPr>
          <w:rFonts w:cs="Times New Roman" w:ascii="Times New Roman" w:hAnsi="Times New Roman"/>
          <w:b/>
          <w:bCs/>
          <w:u w:val="single"/>
          <w:lang w:val="vi-VN"/>
        </w:rPr>
        <w:t>Question</w:t>
      </w:r>
      <w:r>
        <w:rPr>
          <w:rFonts w:cs="Times New Roman" w:ascii="Times New Roman" w:hAnsi="Times New Roman"/>
          <w:b/>
          <w:bCs/>
          <w:lang w:val="vi-VN"/>
        </w:rPr>
        <w:t>:</w:t>
      </w:r>
      <w:r>
        <w:rPr>
          <w:rFonts w:cs="Times New Roman" w:ascii="Times New Roman" w:hAnsi="Times New Roman"/>
          <w:lang w:val="vi-VN"/>
        </w:rPr>
        <w:t xml:space="preserve"> Our enterprise is currently cooperating with and providing a commercial platform for various business households and business individuals. I am informed that the newly promulgated Circular 50/2026/TT-BTC has replaced all declaration forms and sets forth new provisions on tax refunds and bank account updates. Please provide expert advice clarifying the core new points, potential risks that may be encountered, and how we and our partners shall act to comply with these regulations?</w:t>
      </w:r>
    </w:p>
    <w:p>
      <w:pPr>
        <w:pStyle w:val="Normal"/>
        <w:spacing w:lineRule="auto" w:line="312" w:before="120" w:after="120"/>
        <w:jc w:val="both"/>
        <w:rPr/>
      </w:pPr>
      <w:r>
        <w:rPr>
          <w:rFonts w:cs="Times New Roman" w:ascii="Times New Roman" w:hAnsi="Times New Roman"/>
          <w:b/>
          <w:bCs/>
          <w:u w:val="single"/>
          <w:lang w:val="vi-VN"/>
        </w:rPr>
        <w:t>Answer</w:t>
      </w:r>
      <w:r>
        <w:rPr>
          <w:rFonts w:cs="Times New Roman" w:ascii="Times New Roman" w:hAnsi="Times New Roman"/>
          <w:b/>
          <w:bCs/>
          <w:lang w:val="vi-VN"/>
        </w:rPr>
        <w:t>:</w:t>
      </w:r>
      <w:r>
        <w:rPr>
          <w:rFonts w:cs="Times New Roman" w:ascii="Times New Roman" w:hAnsi="Times New Roman"/>
          <w:lang w:val="vi-VN"/>
        </w:rPr>
        <w:t xml:space="preserve"> Below is the detailed advice on the new regulations regarding tax procedures for business households/business individuals pursuant to Circular 50/2026/TT-BTC (effective from May 13, 2026):</w:t>
      </w:r>
    </w:p>
    <w:p>
      <w:pPr>
        <w:pStyle w:val="Normal"/>
        <w:spacing w:lineRule="auto" w:line="312" w:before="120" w:after="120"/>
        <w:jc w:val="both"/>
        <w:rPr/>
      </w:pPr>
      <w:r>
        <w:rPr>
          <w:rFonts w:cs="Times New Roman" w:ascii="Times New Roman" w:hAnsi="Times New Roman"/>
          <w:b/>
          <w:bCs/>
          <w:lang w:val="vi-VN"/>
        </w:rPr>
        <w:t>1. Main contents</w:t>
      </w:r>
    </w:p>
    <w:p>
      <w:pPr>
        <w:pStyle w:val="Normal"/>
        <w:spacing w:lineRule="auto" w:line="312" w:before="120" w:after="120"/>
        <w:jc w:val="both"/>
        <w:rPr/>
      </w:pPr>
      <w:r>
        <w:rPr>
          <w:rFonts w:cs="Times New Roman" w:ascii="Times New Roman" w:hAnsi="Times New Roman"/>
          <w:b/>
          <w:bCs/>
          <w:lang w:val="vi-VN"/>
        </w:rPr>
        <w:t>- The scope of regulation is clarified:</w:t>
      </w:r>
      <w:r>
        <w:rPr>
          <w:rFonts w:cs="Times New Roman" w:ascii="Times New Roman" w:hAnsi="Times New Roman"/>
          <w:lang w:val="vi-VN"/>
        </w:rPr>
        <w:t xml:space="preserve"> Detailed provisions on the dossier and procedures for revenue notification, tax declaration, tax payment, tax refund, notification of business location, suspension, and termination of business operations for the group of business households and business individuals.</w:t>
      </w:r>
    </w:p>
    <w:p>
      <w:pPr>
        <w:pStyle w:val="Normal"/>
        <w:spacing w:lineRule="auto" w:line="312" w:before="120" w:after="120"/>
        <w:jc w:val="both"/>
        <w:rPr/>
      </w:pPr>
      <w:r>
        <w:rPr>
          <w:rFonts w:cs="Times New Roman" w:ascii="Times New Roman" w:hAnsi="Times New Roman"/>
          <w:i/>
          <w:iCs/>
          <w:lang w:val="vi-VN"/>
        </w:rPr>
        <w:t>(Pursuant to Article 1 of Circular 50/2026/TT-BTC)</w:t>
      </w:r>
    </w:p>
    <w:p>
      <w:pPr>
        <w:pStyle w:val="Normal"/>
        <w:spacing w:lineRule="auto" w:line="312" w:before="120" w:after="120"/>
        <w:jc w:val="both"/>
        <w:rPr/>
      </w:pPr>
      <w:r>
        <w:rPr>
          <w:rFonts w:cs="Times New Roman" w:ascii="Times New Roman" w:hAnsi="Times New Roman"/>
          <w:b/>
          <w:bCs/>
          <w:lang w:val="vi-VN"/>
        </w:rPr>
        <w:t>- Supplementation of the dossier for requesting the refund of overpaid tax:</w:t>
      </w:r>
      <w:r>
        <w:rPr>
          <w:rFonts w:cs="Times New Roman" w:ascii="Times New Roman" w:hAnsi="Times New Roman"/>
          <w:lang w:val="vi-VN"/>
        </w:rPr>
        <w:t xml:space="preserve"> Clearly identifying the applicable form when requesting a tax refund for business households and business individuals paying personal income tax under the method of taxable income multiplied by the tax rate.</w:t>
      </w:r>
    </w:p>
    <w:p>
      <w:pPr>
        <w:pStyle w:val="Normal"/>
        <w:spacing w:lineRule="auto" w:line="312" w:before="120" w:after="120"/>
        <w:jc w:val="both"/>
        <w:rPr/>
      </w:pPr>
      <w:r>
        <w:rPr>
          <w:rFonts w:cs="Times New Roman" w:ascii="Times New Roman" w:hAnsi="Times New Roman"/>
          <w:i/>
          <w:iCs/>
          <w:lang w:val="vi-VN"/>
        </w:rPr>
        <w:t>(Pursuant to Article 2 of Circular 50/2026/TT-BTC)</w:t>
      </w:r>
    </w:p>
    <w:p>
      <w:pPr>
        <w:pStyle w:val="Normal"/>
        <w:spacing w:lineRule="auto" w:line="312" w:before="120" w:after="120"/>
        <w:jc w:val="both"/>
        <w:rPr/>
      </w:pPr>
      <w:r>
        <w:rPr>
          <w:rFonts w:cs="Times New Roman" w:ascii="Times New Roman" w:hAnsi="Times New Roman"/>
          <w:b/>
          <w:bCs/>
          <w:lang w:val="vi-VN"/>
        </w:rPr>
        <w:t>- Replacement of a series of material declaration forms:</w:t>
      </w:r>
      <w:r>
        <w:rPr>
          <w:rFonts w:cs="Times New Roman" w:ascii="Times New Roman" w:hAnsi="Times New Roman"/>
          <w:lang w:val="vi-VN"/>
        </w:rPr>
        <w:t xml:space="preserve"> The mandatory application of new forms to replace the old forms promulgated together with Circular 18/2026/TT-BTC, including: Revenue notification form (01/TKN-CNKD); Tax return (01/CNKD); Real estate leasing return (01/BĐS); Detailed schedule of individuals leasing real estate (02/BK-KTBĐS).</w:t>
      </w:r>
    </w:p>
    <w:p>
      <w:pPr>
        <w:pStyle w:val="Normal"/>
        <w:spacing w:lineRule="auto" w:line="312" w:before="120" w:after="120"/>
        <w:jc w:val="both"/>
        <w:rPr/>
      </w:pPr>
      <w:r>
        <w:rPr>
          <w:rFonts w:cs="Times New Roman" w:ascii="Times New Roman" w:hAnsi="Times New Roman"/>
          <w:i/>
          <w:iCs/>
          <w:lang w:val="vi-VN"/>
        </w:rPr>
        <w:t>(Pursuant to Article 3 of Circular 50/2026/TT-BTC)</w:t>
      </w:r>
    </w:p>
    <w:p>
      <w:pPr>
        <w:pStyle w:val="Normal"/>
        <w:spacing w:lineRule="auto" w:line="312" w:before="120" w:after="120"/>
        <w:jc w:val="both"/>
        <w:rPr/>
      </w:pPr>
      <w:r>
        <w:rPr>
          <w:rFonts w:cs="Times New Roman" w:ascii="Times New Roman" w:hAnsi="Times New Roman"/>
          <w:b/>
          <w:bCs/>
          <w:lang w:val="vi-VN"/>
        </w:rPr>
        <w:t>2. Greatest impacts</w:t>
      </w:r>
    </w:p>
    <w:p>
      <w:pPr>
        <w:pStyle w:val="Normal"/>
        <w:spacing w:lineRule="auto" w:line="312" w:before="120" w:after="120"/>
        <w:jc w:val="both"/>
        <w:rPr/>
      </w:pPr>
      <w:r>
        <w:rPr>
          <w:rFonts w:cs="Times New Roman" w:ascii="Times New Roman" w:hAnsi="Times New Roman"/>
          <w:lang w:val="vi-VN"/>
        </w:rPr>
        <w:t>The new regulations directly impact business households, store chains, e-commerce business individuals, and enterprises providing accounting and tax services. Enterprises currently cooperating with business households shall rapidly update the new system of forms, and cross-check invoice data, tax codes, and payment dossiers to mitigate the risk of exclusion of invalid expenses during the accounting process.</w:t>
      </w:r>
    </w:p>
    <w:p>
      <w:pPr>
        <w:pStyle w:val="Normal"/>
        <w:spacing w:lineRule="auto" w:line="312" w:before="120" w:after="120"/>
        <w:jc w:val="both"/>
        <w:rPr/>
      </w:pPr>
      <w:r>
        <w:rPr>
          <w:rFonts w:cs="Times New Roman" w:ascii="Times New Roman" w:hAnsi="Times New Roman"/>
          <w:b/>
          <w:bCs/>
          <w:lang w:val="vi-VN"/>
        </w:rPr>
        <w:t>3. Risks of non-compliance</w:t>
      </w:r>
    </w:p>
    <w:p>
      <w:pPr>
        <w:pStyle w:val="Normal"/>
        <w:spacing w:lineRule="auto" w:line="312" w:before="120" w:after="120"/>
        <w:jc w:val="both"/>
        <w:rPr/>
      </w:pPr>
      <w:r>
        <w:rPr>
          <w:rFonts w:cs="Times New Roman" w:ascii="Times New Roman" w:hAnsi="Times New Roman"/>
          <w:lang w:val="vi-VN"/>
        </w:rPr>
        <w:t>-</w:t>
      </w:r>
      <w:r>
        <w:rPr>
          <w:rFonts w:cs="Times New Roman" w:ascii="Times New Roman" w:hAnsi="Times New Roman"/>
          <w:b/>
          <w:bCs/>
          <w:lang w:val="vi-VN"/>
        </w:rPr>
        <w:t xml:space="preserve"> </w:t>
      </w:r>
      <w:r>
        <w:rPr>
          <w:rFonts w:cs="Times New Roman" w:ascii="Times New Roman" w:hAnsi="Times New Roman"/>
          <w:lang w:val="vi-VN"/>
        </w:rPr>
        <w:t>The continued use of old forms upon tax declaration or tax refund shall cause the dossier to be returned by the tax authority, leading to delayed tax refunds or the calculation of late payment interest and additional payments due to late tax declaration.</w:t>
      </w:r>
    </w:p>
    <w:p>
      <w:pPr>
        <w:pStyle w:val="Normal"/>
        <w:spacing w:lineRule="auto" w:line="312" w:before="120" w:after="120"/>
        <w:jc w:val="both"/>
        <w:rPr/>
      </w:pPr>
      <w:r>
        <w:rPr>
          <w:rFonts w:cs="Times New Roman" w:ascii="Times New Roman" w:hAnsi="Times New Roman"/>
          <w:lang w:val="vi-VN"/>
        </w:rPr>
        <w:t>- Business individuals and business households failing to update their bank accounts/e-wallets on time shall increase the risk of discrepancies in tax administration data, affecting payment transaction operations and the cross-checking of electronic invoice data from the tax authority.</w:t>
      </w:r>
    </w:p>
    <w:p>
      <w:pPr>
        <w:pStyle w:val="Normal"/>
        <w:spacing w:lineRule="auto" w:line="312" w:before="120" w:after="120"/>
        <w:jc w:val="both"/>
        <w:rPr/>
      </w:pPr>
      <w:r>
        <w:rPr>
          <w:rFonts w:cs="Times New Roman" w:ascii="Times New Roman" w:hAnsi="Times New Roman"/>
          <w:b/>
          <w:bCs/>
          <w:lang w:val="vi-VN"/>
        </w:rPr>
        <w:t>4. Proposed action plans</w:t>
      </w:r>
    </w:p>
    <w:p>
      <w:pPr>
        <w:pStyle w:val="Normal"/>
        <w:spacing w:lineRule="auto" w:line="312" w:before="120" w:after="120"/>
        <w:jc w:val="both"/>
        <w:rPr/>
      </w:pPr>
      <w:r>
        <w:rPr>
          <w:rFonts w:cs="Times New Roman" w:ascii="Times New Roman" w:hAnsi="Times New Roman"/>
          <w:lang w:val="vi-VN"/>
        </w:rPr>
        <w:t>-</w:t>
      </w:r>
      <w:r>
        <w:rPr>
          <w:rFonts w:cs="Times New Roman" w:ascii="Times New Roman" w:hAnsi="Times New Roman"/>
          <w:b/>
          <w:bCs/>
          <w:lang w:val="vi-VN"/>
        </w:rPr>
        <w:t xml:space="preserve"> </w:t>
      </w:r>
      <w:r>
        <w:rPr>
          <w:rFonts w:cs="Times New Roman" w:ascii="Times New Roman" w:hAnsi="Times New Roman"/>
          <w:lang w:val="vi-VN"/>
        </w:rPr>
        <w:t>Update and replace all declaration forms, revenue notifications, schedules, and dossiers requesting tax refunds on the accounting software and internal software with the new forms (01/TKN-CNKD, 01/CNKD, 01/BĐS, 02/BK-KTBĐS).</w:t>
      </w:r>
    </w:p>
    <w:p>
      <w:pPr>
        <w:pStyle w:val="Normal"/>
        <w:spacing w:lineRule="auto" w:line="312" w:before="120" w:after="120"/>
        <w:jc w:val="both"/>
        <w:rPr/>
      </w:pPr>
      <w:r>
        <w:rPr>
          <w:rFonts w:cs="Times New Roman" w:ascii="Times New Roman" w:hAnsi="Times New Roman"/>
          <w:lang w:val="vi-VN"/>
        </w:rPr>
        <w:t>- Compile a list of the relevant cooperating business households/business individuals, and simultaneously send a notice reminding them to fulfill the deadline for updating bank accounts prior to July 31, 2026.</w:t>
      </w:r>
    </w:p>
    <w:p>
      <w:pPr>
        <w:pStyle w:val="Normal"/>
        <w:spacing w:lineRule="auto" w:line="312" w:before="120" w:after="120"/>
        <w:jc w:val="both"/>
        <w:rPr/>
      </w:pPr>
      <w:r>
        <w:rPr>
          <w:rFonts w:cs="Times New Roman" w:ascii="Times New Roman" w:hAnsi="Times New Roman"/>
          <w:b/>
          <w:bCs/>
          <w:lang w:val="vi-VN"/>
        </w:rPr>
        <w:t>5. Notes and recommendations for clients</w:t>
      </w:r>
    </w:p>
    <w:p>
      <w:pPr>
        <w:pStyle w:val="Normal"/>
        <w:spacing w:lineRule="auto" w:line="312" w:before="120" w:after="120"/>
        <w:jc w:val="both"/>
        <w:rPr/>
      </w:pPr>
      <w:r>
        <w:rPr>
          <w:rFonts w:cs="Times New Roman" w:ascii="Times New Roman" w:hAnsi="Times New Roman"/>
          <w:b/>
          <w:bCs/>
          <w:lang w:val="vi-VN"/>
        </w:rPr>
        <w:t>- Immediate enforcement effect:</w:t>
      </w:r>
      <w:r>
        <w:rPr>
          <w:rFonts w:cs="Times New Roman" w:ascii="Times New Roman" w:hAnsi="Times New Roman"/>
          <w:lang w:val="vi-VN"/>
        </w:rPr>
        <w:t xml:space="preserve"> The Circular takes effect immediately from the date of signing and promulgation (May 13, 2026), therefore, enterprises and business individuals do not have a transition period for tax declaration forms, and all dossiers arising or submitted from this date are mandatorily required to use the new forms.</w:t>
      </w:r>
    </w:p>
    <w:p>
      <w:pPr>
        <w:pStyle w:val="Normal"/>
        <w:spacing w:lineRule="auto" w:line="312" w:before="120" w:after="120"/>
        <w:jc w:val="both"/>
        <w:rPr/>
      </w:pPr>
      <w:r>
        <w:rPr>
          <w:rFonts w:cs="Times New Roman" w:ascii="Times New Roman" w:hAnsi="Times New Roman"/>
          <w:i/>
          <w:iCs/>
          <w:lang w:val="vi-VN"/>
        </w:rPr>
        <w:t>(Pursuant to clause 1 Article 4 of Circular 50/2026/TT-BTC)</w:t>
      </w:r>
    </w:p>
    <w:p>
      <w:pPr>
        <w:pStyle w:val="Normal"/>
        <w:spacing w:lineRule="auto" w:line="312" w:before="120" w:after="120"/>
        <w:jc w:val="both"/>
        <w:rPr/>
      </w:pPr>
      <w:r>
        <w:rPr>
          <w:rFonts w:cs="Times New Roman" w:ascii="Times New Roman" w:hAnsi="Times New Roman"/>
          <w:b/>
          <w:bCs/>
          <w:lang w:val="vi-VN"/>
        </w:rPr>
        <w:t>- The deadline to notify the account number is July 31, 2026:</w:t>
      </w:r>
      <w:r>
        <w:rPr>
          <w:rFonts w:cs="Times New Roman" w:ascii="Times New Roman" w:hAnsi="Times New Roman"/>
          <w:lang w:val="vi-VN"/>
        </w:rPr>
        <w:t xml:space="preserve"> For the group of operating business households/business individuals with an annual revenue of 01 billion VND or less who have not submitted the tax declaration dossier for Quarter I/2026 or have not sent the Notification of account number/e-wallet pursuant to the old regulations, this is the mandatory milestone to fulfill the notification obligation.</w:t>
      </w:r>
    </w:p>
    <w:p>
      <w:pPr>
        <w:pStyle w:val="Normal"/>
        <w:spacing w:lineRule="auto" w:line="312" w:before="120" w:after="120"/>
        <w:jc w:val="both"/>
        <w:rPr/>
      </w:pPr>
      <w:r>
        <w:rPr>
          <w:rFonts w:cs="Times New Roman" w:ascii="Times New Roman" w:hAnsi="Times New Roman"/>
          <w:i/>
          <w:iCs/>
          <w:lang w:val="vi-VN"/>
        </w:rPr>
        <w:t>(Pursuant to clause 2 Article 4 of Circular 50/2026/TT-BTC)</w:t>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8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Arial Unicode MS" w:cs="Arial Unicode MS"/>
        <w:kern w:val="2"/>
        <w:sz w:val="24"/>
        <w:szCs w:val="24"/>
        <w:lang w:val="vi-VN" w:eastAsia="zh-CN" w:bidi="hi-IN"/>
      </w:rPr>
    </w:rPrDefault>
    <w:pPrDefault>
      <w:pPr>
        <w:widowControl/>
      </w:pPr>
    </w:pPrDefault>
  </w:docDefaults>
  <w:style w:type="paragraph" w:styleId="Normal">
    <w:name w:val="Normal"/>
    <w:qFormat/>
    <w:pPr>
      <w:widowControl/>
    </w:pPr>
    <w:rPr>
      <w:rFonts w:ascii="Liberation Serif" w:hAnsi="Liberation Serif" w:eastAsia="Arial Unicode MS" w:cs="Arial Unicode MS"/>
      <w:color w:val="auto"/>
      <w:kern w:val="2"/>
      <w:sz w:val="24"/>
      <w:szCs w:val="24"/>
      <w:lang w:val="vi-VN"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TotalTime>
  <Application>LibreOffice/6.0.4.2$Windows_x86 LibreOffice_project/9b0d9b32d5dcda91d2f1a96dc04c645c450872bf</Application>
  <Pages>2</Pages>
  <Words>628</Words>
  <Characters>3741</Characters>
  <CharactersWithSpaces>4346</CharactersWithSpaces>
  <Paragraphs>23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2026-06-10T08:25:26Z</dcterms:created>
  <dc:creator/>
  <dc:description/>
  <dc:language>vi-VN</dc:language>
  <cp:lastModifiedBy/>
  <dcterms:modified xsi:type="dcterms:W3CDTF">2026-06-10T08:27:28Z</dcterms:modified>
  <cp:revision>1</cp:revision>
  <dc:subject/>
  <dc:title/>
</cp:coreProperties>
</file>