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F78" w:rsidRPr="00553F78" w:rsidRDefault="00553F78" w:rsidP="00553F7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553F7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PHỤ LỤC SỐ 01</w:t>
      </w:r>
      <w:bookmarkEnd w:id="0"/>
    </w:p>
    <w:p w:rsidR="00553F78" w:rsidRPr="00553F78" w:rsidRDefault="00553F78" w:rsidP="00553F7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_name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 MỨC KINH TẾ - KỸ THUẬT DỊCH VỤ GIÁM ĐỊNH VỀ QUYỀN TÁC GIẢ, QUYỀN LIÊN QUAN PHỤC VỤ CÔNG TÁC QUẢN LÝ NHÀ NƯỚC</w:t>
      </w:r>
      <w:bookmarkEnd w:id="1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07/2024/TT-BVHTTDL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01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10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2024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Văn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hóa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thao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lịch</w:t>
      </w:r>
      <w:proofErr w:type="spellEnd"/>
      <w:r w:rsidRPr="00553F7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</w:t>
      </w:r>
    </w:p>
    <w:p w:rsidR="00553F78" w:rsidRPr="00553F78" w:rsidRDefault="00553F78" w:rsidP="00553F7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dieu_1_1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1.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Mô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tả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nội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dung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công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việc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và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Bảng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mức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kinh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tế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-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kỹ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thuật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về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hao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nhân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công</w:t>
      </w:r>
      <w:bookmarkEnd w:id="2"/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508"/>
        <w:gridCol w:w="1131"/>
        <w:gridCol w:w="565"/>
        <w:gridCol w:w="754"/>
        <w:gridCol w:w="1226"/>
        <w:gridCol w:w="565"/>
        <w:gridCol w:w="660"/>
        <w:gridCol w:w="1226"/>
        <w:gridCol w:w="565"/>
        <w:gridCol w:w="849"/>
      </w:tblGrid>
      <w:tr w:rsidR="00553F78" w:rsidRPr="00553F78" w:rsidTr="00553F78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</w:p>
        </w:tc>
        <w:tc>
          <w:tcPr>
            <w:tcW w:w="39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Định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tế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kỹ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thuật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Định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Định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Định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48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Lao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1: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tác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giả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gửi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văn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tới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tác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giả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kèm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liệu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vật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giấy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tờ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mình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là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trong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tác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giả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. 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trụ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sở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qua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điện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2</w:t>
            </w:r>
          </w:p>
        </w:tc>
        <w:tc>
          <w:tcPr>
            <w:tcW w:w="48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2: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Thụ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: 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gồm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văn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liệu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kèm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theo.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vi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hoạt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sẽ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được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đọc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xét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thấy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vi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hoạt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Trung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tâm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hệ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báo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thụ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vi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hoạt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Trung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tâm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chối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hướng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dẫn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hoàn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thiện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2.2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nhân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vấn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hệ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giúp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vấn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cuộc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chuẩn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chuyển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giúp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vấn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cuộc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: photo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liệu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phí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photo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liệu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do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trả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Chuyển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tới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giúp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vấn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. (Bao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gồm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chuyển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bàn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Hà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chuyển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qua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điện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trong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trường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giúp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vấn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ở xa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chuyển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qua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điện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giúp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vấn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đọc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Trung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tâm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hay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chối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tham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đã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gửi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1 -3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3-5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báo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Lãnh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đạo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Trung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tâm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chuẩn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3: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thảo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thảo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dịch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đổi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thống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nhất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4: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Biên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giao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được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gửi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tới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qua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đường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chính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8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5: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Chuẩn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Căn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cứ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chuẩn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. Trường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làm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rõ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thì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nghị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tin,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liệu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thuê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dịch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thiết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vật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);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lấy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mẫu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nghị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giúp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vấn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cứu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3-5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5-7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5-7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Thành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3-5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Chuẩn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giấy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giúp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vấn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Sắp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lịch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làm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bố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trí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làm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nước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uống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hậu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48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6: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hiện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định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6.1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thống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nhất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3 -5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5-7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5-7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thảo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luận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3 -5/1-3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buổi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5-7 /1-3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buổi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5-7/1-3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buổi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được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làm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3-5/ 1-3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buổi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5-7 /1-3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buổi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5-7/ 1-3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buổi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48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7: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luận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luận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luận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được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văn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phải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chữ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đứng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dấu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3-5/ 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buổi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5-7/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1-2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buổi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/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1-2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buổi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Gửi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luận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48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8: Giao,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trả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tác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giả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Trong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trường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kèm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thì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trả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phải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biên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9: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Khiếu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nại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luận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  <w:p w:rsidR="00553F78" w:rsidRPr="00553F78" w:rsidRDefault="00553F78" w:rsidP="00553F78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bookmarkStart w:id="3" w:name="tvpllink_cgpoduumea"/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fldChar w:fldCharType="begin"/>
            </w: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instrText>HYPERLINK "https://thuvienphapluat.vn/van-ban/Thu-tuc-To-tung/Luat-khieu-nai-2011-132446.aspx" \t "_blank"</w:instrText>
            </w: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553F78">
              <w:rPr>
                <w:rFonts w:ascii="Arial" w:eastAsia="Times New Roman" w:hAnsi="Arial" w:cs="Arial"/>
                <w:color w:val="0E70C3"/>
                <w:kern w:val="0"/>
                <w:sz w:val="18"/>
                <w:szCs w:val="18"/>
                <w:u w:val="single"/>
                <w14:ligatures w14:val="none"/>
              </w:rPr>
              <w:t>Luật</w:t>
            </w:r>
            <w:proofErr w:type="spellEnd"/>
            <w:r w:rsidRPr="00553F78">
              <w:rPr>
                <w:rFonts w:ascii="Arial" w:eastAsia="Times New Roman" w:hAnsi="Arial" w:cs="Arial"/>
                <w:color w:val="0E70C3"/>
                <w:kern w:val="0"/>
                <w:sz w:val="18"/>
                <w:szCs w:val="18"/>
                <w:u w:val="single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E70C3"/>
                <w:kern w:val="0"/>
                <w:sz w:val="18"/>
                <w:szCs w:val="18"/>
                <w:u w:val="single"/>
                <w14:ligatures w14:val="none"/>
              </w:rPr>
              <w:t>Khiếu</w:t>
            </w:r>
            <w:proofErr w:type="spellEnd"/>
            <w:r w:rsidRPr="00553F78">
              <w:rPr>
                <w:rFonts w:ascii="Arial" w:eastAsia="Times New Roman" w:hAnsi="Arial" w:cs="Arial"/>
                <w:color w:val="0E70C3"/>
                <w:kern w:val="0"/>
                <w:sz w:val="18"/>
                <w:szCs w:val="18"/>
                <w:u w:val="single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E70C3"/>
                <w:kern w:val="0"/>
                <w:sz w:val="18"/>
                <w:szCs w:val="18"/>
                <w:u w:val="single"/>
                <w14:ligatures w14:val="none"/>
              </w:rPr>
              <w:t>nại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3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10: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- </w:t>
            </w: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Quay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hết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7.</w:t>
            </w:r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bằng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50%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bằng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30%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u.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- </w:t>
            </w: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Quay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hết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7.</w:t>
            </w:r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bằng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50%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bằng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30%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u.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- </w:t>
            </w: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Quay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hết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bước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7.</w:t>
            </w:r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bằng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50%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bằng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30%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u.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48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Lao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- </w:t>
            </w: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Định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là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thiết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để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hoàn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01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SG"/>
                <w14:ligatures w14:val="none"/>
              </w:rPr>
              <w:t>- </w:t>
            </w: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Định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lệ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phần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trăm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(%)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. Định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bằng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15%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</w:tbl>
    <w:p w:rsidR="00553F78" w:rsidRPr="00553F78" w:rsidRDefault="00553F78" w:rsidP="00553F7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4" w:name="dieu_2_1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2.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Trị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số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mức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và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Bảng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mức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kinh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tế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-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kỹ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thuật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hao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máy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móc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thiết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bị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sử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dụng</w:t>
      </w:r>
      <w:bookmarkEnd w:id="4"/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18"/>
        <w:gridCol w:w="962"/>
        <w:gridCol w:w="1444"/>
        <w:gridCol w:w="1156"/>
        <w:gridCol w:w="1349"/>
        <w:gridCol w:w="1636"/>
      </w:tblGrid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Thành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phần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hao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phí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tính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Mô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tả</w:t>
            </w:r>
            <w:proofErr w:type="spellEnd"/>
          </w:p>
        </w:tc>
        <w:tc>
          <w:tcPr>
            <w:tcW w:w="2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hao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phí</w:t>
            </w:r>
            <w:proofErr w:type="spellEnd"/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553F78" w:rsidRPr="00553F78" w:rsidTr="00553F78">
        <w:trPr>
          <w:trHeight w:val="314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Nhân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Lao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9/9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8/8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(1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17,5</w:t>
            </w:r>
          </w:p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(1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(1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6/6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3,75</w:t>
            </w:r>
          </w:p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(1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(1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(1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Lao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gián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Lao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gián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khác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15%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Máy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móc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thiết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sử</w:t>
            </w:r>
            <w:proofErr w:type="spellEnd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tính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xách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để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bàn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0,0012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Laser A4, in 2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mặt</w:t>
            </w:r>
            <w:proofErr w:type="spellEnd"/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0,0004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Âm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thanh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0,0004</w:t>
            </w:r>
          </w:p>
        </w:tc>
      </w:tr>
      <w:tr w:rsidR="00553F78" w:rsidRPr="00553F78" w:rsidTr="00553F7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Máy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scan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thông</w:t>
            </w:r>
            <w:proofErr w:type="spellEnd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3F78" w:rsidRPr="00553F78" w:rsidRDefault="00553F78" w:rsidP="00553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3F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0,0004</w:t>
            </w:r>
          </w:p>
        </w:tc>
      </w:tr>
    </w:tbl>
    <w:p w:rsidR="00553F78" w:rsidRPr="00553F78" w:rsidRDefault="00553F78" w:rsidP="00553F7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5" w:name="dieu_3_1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3.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Cách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tính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chi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trên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cơ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sở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mức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kinh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tế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-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kỹ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thuật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dịch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vụ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giám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về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quyền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tác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giả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quyền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liên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quan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đối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với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một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số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trường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hợp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cụ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thể</w:t>
      </w:r>
      <w:proofErr w:type="spellEnd"/>
      <w:r w:rsidRPr="00553F7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SG"/>
          <w14:ligatures w14:val="none"/>
        </w:rPr>
        <w:t>:</w:t>
      </w:r>
      <w:bookmarkEnd w:id="5"/>
    </w:p>
    <w:p w:rsidR="00553F78" w:rsidRPr="00553F78" w:rsidRDefault="00553F78" w:rsidP="00553F7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:lang w:val="en-SG"/>
          <w14:ligatures w14:val="none"/>
        </w:rPr>
        <w:t>a) </w:t>
      </w: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Các chi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khác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Tài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chế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:lang w:val="en-SG"/>
          <w14:ligatures w14:val="none"/>
        </w:rPr>
        <w:t>số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:lang w:val="en-SG"/>
          <w14:ligatures w14:val="none"/>
        </w:rPr>
        <w:t> </w:t>
      </w:r>
      <w:bookmarkStart w:id="6" w:name="tvpllink_dybfavevcm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"https://thuvienphapluat.vn/van-ban/dich-vu-phap-ly/nghi-dinh-81-2014-nd-cp-huong-dan-phap-lenh-chi-phi-giam-dinh-dinh-gia-nguoi-lam-chung-nguoi-phien-dich-to-tung-243859.aspx" \t "_blank"</w:instrText>
      </w: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81/2014/NĐ-CP</w:t>
      </w: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bookmarkEnd w:id="6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14/9/2014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Quy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chi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tiết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một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7" w:name="tvpllink_bhbfxztjny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"https://thuvienphapluat.vn/van-ban/Thu-tuc-To-tung/Phap-lenh-chi-phi-giam-dinh-dinh-gia-cho-nguoi-lam-chung-phien-dich-trong-to-139001.aspx" \t "_blank"</w:instrText>
      </w: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Pháp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lệnh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chi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giám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giá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, chi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cho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người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làm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chứng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người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phiên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dịch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trong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tố</w:t>
      </w:r>
      <w:proofErr w:type="spellEnd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tụng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bookmarkEnd w:id="7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:rsidR="00553F78" w:rsidRPr="00553F78" w:rsidRDefault="00553F78" w:rsidP="00553F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:lang w:val="en-SG"/>
          <w14:ligatures w14:val="none"/>
        </w:rPr>
        <w:t>b) </w:t>
      </w:r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Chi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mức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tế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-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kỹ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thuật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sử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thiết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bị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phương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tiện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máy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móc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cụ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cụ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vật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liệu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vật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tiêu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hao;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sử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dịch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chi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khác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trả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chi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phí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tế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tương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ứng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tượng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giám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giả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. Khi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toán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quyết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toán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phải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đầy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đủ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báo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đồng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hóa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chứng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lệ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553F7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78"/>
    <w:rsid w:val="000C099E"/>
    <w:rsid w:val="001560B2"/>
    <w:rsid w:val="00553F78"/>
    <w:rsid w:val="005B417D"/>
    <w:rsid w:val="0071134A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D35C7-1F65-45AD-815D-B7102FA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F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53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2024-11-02T08:26:00Z</dcterms:created>
  <dcterms:modified xsi:type="dcterms:W3CDTF">2024-11-02T08:26:00Z</dcterms:modified>
</cp:coreProperties>
</file>