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4C2" w:rsidRDefault="003B24C2" w:rsidP="003B24C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"/>
      <w:r>
        <w:rPr>
          <w:rFonts w:ascii="Arial" w:hAnsi="Arial" w:cs="Arial"/>
          <w:b/>
          <w:bCs/>
          <w:color w:val="000000"/>
        </w:rPr>
        <w:t>PHỤ LỤC</w:t>
      </w:r>
      <w:bookmarkEnd w:id="0"/>
    </w:p>
    <w:p w:rsidR="003B24C2" w:rsidRDefault="003B24C2" w:rsidP="003B24C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name"/>
      <w:r>
        <w:rPr>
          <w:rFonts w:ascii="Arial" w:hAnsi="Arial" w:cs="Arial"/>
          <w:color w:val="000000"/>
          <w:sz w:val="18"/>
          <w:szCs w:val="18"/>
        </w:rPr>
        <w:t>HƯỚNG DẪN MINH CHỨNG VÀ CHẤM ĐIỂM HỒ SƠ XÉT THĂNG HẠNG CHỨC DANH NGHỀ NGHIỆP GIÁO VIÊN MẦM NON, PHỔ THÔNG CÔNG LẬP</w:t>
      </w:r>
      <w:bookmarkEnd w:id="1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Kèm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Thông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34/2021/TT-BGDĐT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30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11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2021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Đào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tạo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3B24C2" w:rsidRDefault="003B24C2" w:rsidP="003B24C2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nhóm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bookmarkStart w:id="2" w:name="tc_4"/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khoản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6 Thông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này</w:t>
      </w:r>
      <w:bookmarkEnd w:id="2"/>
      <w:proofErr w:type="spellEnd"/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thang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100 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gồm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I.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nhóm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chí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chuẩn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trình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độ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đào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tạo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(20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)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gồm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chuẩn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đào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II.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nhóm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chí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chuẩn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năng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lực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(80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)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gồm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cuộc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Hiệu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trưởng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trưởng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trưởng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chuẩn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đảm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giấy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giảng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45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Minh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đua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thưởng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giỏi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20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Minh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(bao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gồm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yêu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thăng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III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lượng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thăng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đáp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ứng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yêu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cầu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bookmarkStart w:id="3" w:name="tc_5"/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khoản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7 Thông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này</w:t>
      </w:r>
      <w:bookmarkEnd w:id="3"/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nhiều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hơn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chỉ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tiêu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thăng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thẩm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giao</w:t>
      </w:r>
      <w:proofErr w:type="spellEnd"/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I.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II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mà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đạt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quả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):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Mỗi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nhóm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III,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làm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tròn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phần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mỗi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nhóm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mầm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non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Làm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lớp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mầm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nuôi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sóc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trẻ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xuất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mầm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tiểu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học</w:t>
      </w:r>
      <w:proofErr w:type="spellEnd"/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lớp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tiểu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duyệt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khoa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giỏi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lớp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giỏi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làm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Chí Minh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giỏi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cốt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tiểu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d)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lượng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trung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sở</w:t>
      </w:r>
      <w:proofErr w:type="spellEnd"/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Làm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lớp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xây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khoa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hút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đ)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Làm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lớp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hình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phương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ở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xây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khoa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giỏi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lớp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giỏi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đ)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giỏi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đánh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khoa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trở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g) Tham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hút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động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1,0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II.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Gợi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ý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II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mà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đạt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quả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tập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án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giảng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dạy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duyệt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chép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chuyên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môn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Thông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thưởng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những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đóng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góp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Ngoài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quả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chú</w:t>
      </w:r>
      <w:proofErr w:type="spellEnd"/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I. Trường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B24C2" w:rsidRDefault="003B24C2" w:rsidP="003B24C2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II.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đồng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hồ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thăng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nghiệp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giáo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./.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C2"/>
    <w:rsid w:val="001560B2"/>
    <w:rsid w:val="003B24C2"/>
    <w:rsid w:val="005B417D"/>
    <w:rsid w:val="0071134A"/>
    <w:rsid w:val="00904FCA"/>
    <w:rsid w:val="00C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FB136-E4AA-4D5B-B76A-23E13AC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4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2024-11-22T04:48:00Z</dcterms:created>
  <dcterms:modified xsi:type="dcterms:W3CDTF">2024-11-22T04:48:00Z</dcterms:modified>
</cp:coreProperties>
</file>