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left w:color="auto" w:space="0" w:sz="0" w:val="none"/>
          <w:right w:color="auto" w:space="0" w:sz="0" w:val="none"/>
        </w:pBdr>
        <w:shd w:fill="ffffff" w:val="clear"/>
        <w:spacing w:after="120" w:before="120" w:line="255.27272727272725" w:lineRule="auto"/>
        <w:jc w:val="center"/>
        <w:rPr>
          <w:i w:val="1"/>
          <w:sz w:val="18"/>
          <w:szCs w:val="18"/>
        </w:rPr>
      </w:pPr>
      <w:r w:rsidDel="00000000" w:rsidR="00000000" w:rsidRPr="00000000">
        <w:rPr>
          <w:sz w:val="18"/>
          <w:szCs w:val="18"/>
          <w:rtl w:val="0"/>
        </w:rPr>
        <w:t xml:space="preserve">KHUNG TIÊU CHÍ ĐÁNH GIÁ CHẤT LƯỢNG THƯƠNG LƯỢNG TẬP THỂ, KÝ KẾT VÀ THỰC HIỆN THỎA ƯỚC LAO ĐỘNG TẬP THỂ CÓ NHIỀU DOANH NGHIỆP THAM GIA</w:t>
        <w:br w:type="textWrapping"/>
      </w:r>
      <w:r w:rsidDel="00000000" w:rsidR="00000000" w:rsidRPr="00000000">
        <w:rPr>
          <w:i w:val="1"/>
          <w:sz w:val="18"/>
          <w:szCs w:val="18"/>
          <w:rtl w:val="0"/>
        </w:rPr>
        <w:t xml:space="preserve">(Kèm theo Hướng dẫn số 90/HD-TLĐ ngày 17 tháng 7 năm 2023)</w:t>
      </w:r>
    </w:p>
    <w:tbl>
      <w:tblPr>
        <w:tblStyle w:val="Table1"/>
        <w:tblW w:w="885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690"/>
        <w:gridCol w:w="6540"/>
        <w:gridCol w:w="1620"/>
        <w:tblGridChange w:id="0">
          <w:tblGrid>
            <w:gridCol w:w="690"/>
            <w:gridCol w:w="6540"/>
            <w:gridCol w:w="1620"/>
          </w:tblGrid>
        </w:tblGridChange>
      </w:tblGrid>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2">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TT</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3">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Tiêu chí đánh giá</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4">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Điểm tối đa</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5">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6">
            <w:pPr>
              <w:pBdr>
                <w:left w:color="auto" w:space="0" w:sz="0" w:val="none"/>
                <w:right w:color="auto" w:space="0" w:sz="0" w:val="none"/>
              </w:pBdr>
              <w:spacing w:after="120" w:before="120" w:line="311.99999999999994" w:lineRule="auto"/>
              <w:rPr>
                <w:b w:val="1"/>
                <w:sz w:val="18"/>
                <w:szCs w:val="18"/>
              </w:rPr>
            </w:pPr>
            <w:r w:rsidDel="00000000" w:rsidR="00000000" w:rsidRPr="00000000">
              <w:rPr>
                <w:b w:val="1"/>
                <w:sz w:val="18"/>
                <w:szCs w:val="18"/>
                <w:rtl w:val="0"/>
              </w:rPr>
              <w:t xml:space="preserve">QUY TRÌNH THƯƠNG LƯỢNG TẬP THỂ</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7">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4</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Tổng hợp ý kiến của tập thể NLĐ để xây dựng nội dung đề xuất thương lượng tập thể</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Đề xuất thương lượng tập thể với người sử dụng lao động hoặc thành lập Hội đồng thương lượng tập thể</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Tiến hành phiên họp thương lượng tập thể</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Lấy ý kiến tập thể NLĐ về kết quả thương lượng tập thể/dự thảo TƯLĐTT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4">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II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5">
            <w:pPr>
              <w:pBdr>
                <w:left w:color="auto" w:space="0" w:sz="0" w:val="none"/>
                <w:right w:color="auto" w:space="0" w:sz="0" w:val="none"/>
              </w:pBdr>
              <w:spacing w:after="120" w:before="120" w:line="311.99999999999994" w:lineRule="auto"/>
              <w:rPr>
                <w:b w:val="1"/>
                <w:sz w:val="18"/>
                <w:szCs w:val="18"/>
              </w:rPr>
            </w:pPr>
            <w:r w:rsidDel="00000000" w:rsidR="00000000" w:rsidRPr="00000000">
              <w:rPr>
                <w:b w:val="1"/>
                <w:sz w:val="18"/>
                <w:szCs w:val="18"/>
                <w:rtl w:val="0"/>
              </w:rPr>
              <w:t xml:space="preserve">NỘI DUNG CÓ LỢI HƠN SO VỚI QUY ĐỊNH CỦA PHÁP LUẬT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6">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85</w:t>
            </w:r>
          </w:p>
        </w:tc>
      </w:tr>
      <w:tr>
        <w:trPr>
          <w:cantSplit w:val="0"/>
          <w:trHeight w:val="142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Các nội dung về tiền lương gồm: mức lương, phụ cấp và các khoản bổ sung khác; mức lương thấp nhất tại doanh nghiệp; hệ thống thang lương, bảng lương; định mức lao động; tiền lương làm thêm giờ, làm việc vào ban đêm; tiền lương ngừng việc; tạm ứng lương; nâng lương; tiền lương thử việc; các nội dung khác liên quan đến tiền lương; tiền thưởng tháng lương thứ 13...</w:t>
            </w:r>
          </w:p>
        </w:tc>
        <w:tc>
          <w:tcPr>
            <w:vMerge w:val="restart"/>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40</w:t>
            </w:r>
          </w:p>
        </w:tc>
      </w:tr>
      <w:tr>
        <w:trPr>
          <w:cantSplit w:val="0"/>
          <w:trHeight w:val="142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Các nội dung về thời giờ làm việc, thời giờ nghỉ ngơi gồm: giảm giờ làm việc hàng ngày, hàng tuần, hàng tháng, ban đêm; tăng giờ nghỉ trong giờ làm việc; các đợt nghỉ giải lao trong giờ làm việc; thời gian nghỉ chuyển ca; tăng thêm ngày nghỉ hàng tuần; tăng thêm ngày nghỉ lễ, tết, nghỉ hằng năm; tăng thêm thời gian nghỉ việc riêng, nghỉ không hưởng lương; nghỉ ngày thành lập doanh nghiệp...</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rPr>
                <w:sz w:val="18"/>
                <w:szCs w:val="18"/>
              </w:rPr>
            </w:pPr>
            <w:r w:rsidDel="00000000" w:rsidR="00000000" w:rsidRPr="00000000">
              <w:rPr>
                <w:rtl w:val="0"/>
              </w:rPr>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1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1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Nội dung bữa ăn ca của người lao động gồm: số lượng, giá trị bữa ăn ca; hình thức tổ chức bữa ăn ca...</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1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5</w:t>
            </w:r>
          </w:p>
        </w:tc>
      </w:tr>
      <w:tr>
        <w:trPr>
          <w:cantSplit w:val="0"/>
          <w:trHeight w:val="166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8</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Các nội dung khác gồm: đảm bảo việc làm; bảo đảm an toàn, vệ sinh lao động; thực hiện nội quy lao động; điều kiện, phương tiện hoạt động của CĐCS; mối quan hệ giữa người sử dụng lao động và CĐCS; bảo đảm bình đẳng giới, bảo vệ thai sản, nghỉ hằng năm; phòng, chống bạo lực và quấy rối tình dục tại nơi làm việc; các chế độ phúc lợi cho NLĐ như nghỉ mát, hiếu hỷ, hỗ trợ đoàn viên, người lao động khó khăn...</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40</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3">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III</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4">
            <w:pPr>
              <w:pBdr>
                <w:left w:color="auto" w:space="0" w:sz="0" w:val="none"/>
                <w:right w:color="auto" w:space="0" w:sz="0" w:val="none"/>
              </w:pBdr>
              <w:spacing w:after="120" w:before="120" w:line="311.99999999999994" w:lineRule="auto"/>
              <w:rPr>
                <w:b w:val="1"/>
                <w:sz w:val="18"/>
                <w:szCs w:val="18"/>
              </w:rPr>
            </w:pPr>
            <w:r w:rsidDel="00000000" w:rsidR="00000000" w:rsidRPr="00000000">
              <w:rPr>
                <w:b w:val="1"/>
                <w:sz w:val="18"/>
                <w:szCs w:val="18"/>
                <w:rtl w:val="0"/>
              </w:rPr>
              <w:t xml:space="preserve">KÝ KẾT VÀ THỰC HIỆN TƯLĐTT</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5">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6</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9</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Tổ chức ký kết TƯLĐTT</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10</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Phổ biến TƯLĐTT tới NLĐ</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11</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Giám sát việc thực hiện TƯLĐTT</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12</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Đánh giá kết quả thực hiện TƯLĐTT hoặc đề xuất sửa đổi, bổ sung, ký lại, ký mới TƯLĐTT hoặc gửi TƯLĐTT tới các bên, cấp trên, cơ quan quản lý nhà nước theo quy định</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2">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IV</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3">
            <w:pPr>
              <w:pBdr>
                <w:left w:color="auto" w:space="0" w:sz="0" w:val="none"/>
                <w:right w:color="auto" w:space="0" w:sz="0" w:val="none"/>
              </w:pBdr>
              <w:spacing w:after="120" w:before="120" w:line="311.99999999999994" w:lineRule="auto"/>
              <w:rPr>
                <w:b w:val="1"/>
                <w:sz w:val="18"/>
                <w:szCs w:val="18"/>
              </w:rPr>
            </w:pPr>
            <w:r w:rsidDel="00000000" w:rsidR="00000000" w:rsidRPr="00000000">
              <w:rPr>
                <w:b w:val="1"/>
                <w:sz w:val="18"/>
                <w:szCs w:val="18"/>
                <w:rtl w:val="0"/>
              </w:rPr>
              <w:t xml:space="preserve">ĐIỂM THƯỞNG (nếu có)</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4">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5</w:t>
            </w:r>
          </w:p>
        </w:tc>
      </w:tr>
      <w:tr>
        <w:trPr>
          <w:cantSplit w:val="0"/>
          <w:trHeight w:val="49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5">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TỔNG ĐIỂM</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7">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100</w:t>
            </w:r>
          </w:p>
        </w:tc>
      </w:tr>
    </w:tbl>
    <w:p w:rsidR="00000000" w:rsidDel="00000000" w:rsidP="00000000" w:rsidRDefault="00000000" w:rsidRPr="00000000" w14:paraId="00000038">
      <w:pPr>
        <w:rPr>
          <w:b w:val="1"/>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