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06. Giấy xác nhận đủ điều kiện về an ninh, an toàn</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 … tháng … 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GIẤY XÁC NHẬN</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Đủ điều kiện an ninh, an toàn</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…………………………….(6)…………………………………….;</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chức năng, nhiệm vụ của Cơ quan bảo vệ an ninh ...(2).../ ...(1)...;</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Sau khi kiểm tra thực tế địa điểm sử dụng, hồ sơ và các tài liệu có liên quan theo quy định về quản lý, sử dụng vật liệu nổ công nghiệp,</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quan bảo vệ an ninh…………………..(2)…………………..</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XÁC NHẬN:</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(Tên đơn vị sử dụng VLNCN)…………………………………………………………….</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Có đủ điều kiện về an ninh, an toàn trong việc sử dụng và bảo quản vật liệu nổ công nghiệp:</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Tại công trình </w:t>
      </w:r>
      <w:r w:rsidDel="00000000" w:rsidR="00000000" w:rsidRPr="00000000">
        <w:rPr>
          <w:i w:val="1"/>
          <w:sz w:val="18"/>
          <w:szCs w:val="18"/>
          <w:rtl w:val="0"/>
        </w:rPr>
        <w:t xml:space="preserve">(mật danh),</w:t>
      </w:r>
      <w:r w:rsidDel="00000000" w:rsidR="00000000" w:rsidRPr="00000000">
        <w:rPr>
          <w:sz w:val="18"/>
          <w:szCs w:val="18"/>
          <w:rtl w:val="0"/>
        </w:rPr>
        <w:t xml:space="preserve"> địa điểm:…………….(7)…………………………….</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1.2. Kho chứa vật liệu nổ công nghiệp tại………………….(7)………………..có:</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Trữ lượng thuốc nổ: ... tấn.</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Phụ kiện nổ: Kíp nổ ... cái; dây nổ ... mét; mồi nổ ... quả;...</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Chủng loại, số lượng vật liệu nổ công nghiệp sử dụng, như sau (8):</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2385"/>
        <w:gridCol w:w="780"/>
        <w:gridCol w:w="1695"/>
        <w:gridCol w:w="1695"/>
        <w:gridCol w:w="1725"/>
        <w:tblGridChange w:id="0">
          <w:tblGrid>
            <w:gridCol w:w="600"/>
            <w:gridCol w:w="2385"/>
            <w:gridCol w:w="780"/>
            <w:gridCol w:w="1695"/>
            <w:gridCol w:w="1695"/>
            <w:gridCol w:w="1725"/>
          </w:tblGrid>
        </w:tblGridChange>
      </w:tblGrid>
      <w:tr>
        <w:trPr>
          <w:cantSplit w:val="0"/>
          <w:trHeight w:val="495" w:hRule="atLeast"/>
          <w:tblHeader w:val="0"/>
        </w:trPr>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gridSpan w:val="3"/>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r>
      <w:tr>
        <w:trPr>
          <w:cantSplit w:val="0"/>
          <w:trHeight w:val="720"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Theo dự toán được phê duyệt</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Đã sử dụng kỳ trước</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Sử dụng kỳ này</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Giấy xác nhận này có giá trị từ ngày ... tháng ... năm ... đến ngày ... tháng ... năm..../.</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6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b w:val="1"/>
                <w:i w:val="1"/>
                <w:sz w:val="18"/>
                <w:szCs w:val="18"/>
              </w:rPr>
            </w:pPr>
            <w:r w:rsidDel="00000000" w:rsidR="00000000" w:rsidRPr="00000000">
              <w:rPr>
                <w:b w:val="1"/>
                <w:i w:val="1"/>
                <w:sz w:val="18"/>
                <w:szCs w:val="18"/>
                <w:rtl w:val="0"/>
              </w:rPr>
              <w:t xml:space="preserve"> </w:t>
            </w:r>
          </w:p>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18"/>
                <w:szCs w:val="18"/>
              </w:rPr>
            </w:pP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w:t>
              <w:br w:type="textWrapping"/>
              <w:t xml:space="preserve">- Lưu: VT, …. S….</w:t>
            </w:r>
          </w:p>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t xml:space="preserve">………..(9)…………</w:t>
              <w:br w:type="textWrapping"/>
            </w:r>
            <w:r w:rsidDel="00000000" w:rsidR="00000000" w:rsidRPr="00000000">
              <w:rPr>
                <w:i w:val="1"/>
                <w:sz w:val="18"/>
                <w:szCs w:val="18"/>
                <w:rtl w:val="0"/>
              </w:rPr>
              <w:t xml:space="preserve">(Chữ ký, dấu, ghi rõ họ và tên)</w:t>
            </w:r>
          </w:p>
        </w:tc>
      </w:tr>
    </w:tbl>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cấp trên trực tiếp của cơ quan Bảo vệ an ninh;</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quan bảo vệ an ninh cấp Giấy xác nhận;</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(4), (5) như Mẫu số 01;</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Nêu các căn cứ để cấp giấy xác nhận;</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Ghi rõ địa điểm (xã, huyện, tỉnh) sử dụng và kho bảo quản vật liệu nổ công nghiệp;</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Ghi rõ chủng loại, số lượng vật liệu nổ công nghiệp;</w:t>
      </w:r>
    </w:p>
    <w:p w:rsidR="00000000" w:rsidDel="00000000" w:rsidP="00000000" w:rsidRDefault="00000000" w:rsidRPr="00000000" w14:paraId="0000004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Quyền hạn, chức vụ người ký (Thủ trưởng cơ quan bảo vệ an ninh).</w:t>
      </w:r>
    </w:p>
    <w:p w:rsidR="00000000" w:rsidDel="00000000" w:rsidP="00000000" w:rsidRDefault="00000000" w:rsidRPr="00000000" w14:paraId="0000004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