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left w:color="auto" w:space="0" w:sz="0" w:val="none"/>
          <w:right w:color="auto" w:space="0" w:sz="0" w:val="none"/>
        </w:pBdr>
        <w:shd w:fill="ffffff" w:val="clear"/>
        <w:spacing w:after="0" w:before="0" w:lineRule="auto"/>
        <w:rPr>
          <w:b w:val="1"/>
          <w:sz w:val="24"/>
          <w:szCs w:val="24"/>
        </w:rPr>
      </w:pPr>
      <w:bookmarkStart w:colFirst="0" w:colLast="0" w:name="_eryhffiy56by" w:id="0"/>
      <w:bookmarkEnd w:id="0"/>
      <w:r w:rsidDel="00000000" w:rsidR="00000000" w:rsidRPr="00000000">
        <w:rPr>
          <w:b w:val="1"/>
          <w:sz w:val="24"/>
          <w:szCs w:val="24"/>
          <w:rtl w:val="0"/>
        </w:rPr>
        <w:t xml:space="preserve">PHỤ LỤC SỐ 10</w:t>
      </w:r>
    </w:p>
    <w:p w:rsidR="00000000" w:rsidDel="00000000" w:rsidP="00000000" w:rsidRDefault="00000000" w:rsidRPr="00000000" w14:paraId="00000002">
      <w:pPr>
        <w:pBdr>
          <w:left w:color="auto" w:space="0" w:sz="0" w:val="none"/>
          <w:right w:color="auto" w:space="0" w:sz="0" w:val="none"/>
        </w:pBdr>
        <w:shd w:fill="ffffff" w:val="clear"/>
        <w:spacing w:before="120" w:lineRule="auto"/>
        <w:jc w:val="center"/>
        <w:rPr>
          <w:i w:val="1"/>
          <w:sz w:val="20"/>
          <w:szCs w:val="20"/>
        </w:rPr>
      </w:pPr>
      <w:r w:rsidDel="00000000" w:rsidR="00000000" w:rsidRPr="00000000">
        <w:rPr>
          <w:sz w:val="20"/>
          <w:szCs w:val="20"/>
          <w:rtl w:val="0"/>
        </w:rPr>
        <w:t xml:space="preserve">CÁC PHƯƠNG PHÁP XÁC ĐỊNH CHI PHÍ THUÊ DỊCH VỤ THEO YÊU CẦU RIÊNG</w:t>
        <w:br w:type="textWrapping"/>
      </w:r>
      <w:r w:rsidDel="00000000" w:rsidR="00000000" w:rsidRPr="00000000">
        <w:rPr>
          <w:i w:val="1"/>
          <w:sz w:val="20"/>
          <w:szCs w:val="20"/>
          <w:rtl w:val="0"/>
        </w:rPr>
        <w:t xml:space="preserve">(Ban hành kèm theo Thông tư số 18/2024/TT-BTTTT ngày 30 tháng 12 năm 2024 của Bộ trưởng Bộ Thông tin và Truyền thông)</w:t>
      </w:r>
    </w:p>
    <w:p w:rsidR="00000000" w:rsidDel="00000000" w:rsidP="00000000" w:rsidRDefault="00000000" w:rsidRPr="00000000" w14:paraId="00000003">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Chi phí thuê dịch vụ theo yêu cầu riêng được tính toán và xác định trong giai đoạn lập kế hoạch thuê dịch vụ công nghệ thông tin theo một trong các phương pháp sau đây:</w:t>
      </w:r>
    </w:p>
    <w:p w:rsidR="00000000" w:rsidDel="00000000" w:rsidP="00000000" w:rsidRDefault="00000000" w:rsidRPr="00000000" w14:paraId="00000004">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1. Phương pháp so sánh</w:t>
      </w:r>
    </w:p>
    <w:p w:rsidR="00000000" w:rsidDel="00000000" w:rsidP="00000000" w:rsidRDefault="00000000" w:rsidRPr="00000000" w14:paraId="00000005">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Trường hợp xét thấy có dịch vụ công nghệ thông tin đã hoặc đang được thuê có tính chất tương tự về phạm vi, quy mô và có sự tương đồng về yêu cầu chất lượng dịch vụ thì xem xét làm cơ sở xác định chi phí thuê dịch vụ theo yêu cầu riêng. Chủ trì thuê dịch vụ theo yêu cầu riêng, đơn vị tư vấn lập kế hoạch thuê dịch vụ theo yêu cầu riêng phải chịu trách nhiệm về việc phân tích, đánh giá mức độ tương tự, tương đồng của dự án.</w:t>
      </w:r>
    </w:p>
    <w:p w:rsidR="00000000" w:rsidDel="00000000" w:rsidP="00000000" w:rsidRDefault="00000000" w:rsidRPr="00000000" w14:paraId="00000006">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2. Phương pháp chuyên gia</w:t>
      </w:r>
    </w:p>
    <w:p w:rsidR="00000000" w:rsidDel="00000000" w:rsidP="00000000" w:rsidRDefault="00000000" w:rsidRPr="00000000" w14:paraId="00000007">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Trên cơ sở mục tiêu, quy mô, địa điểm và phạm vi thuê dịch vụ theo yêu cầu riêng, chủ trì thuê dịch vụ theo yêu cầu riêng thành lập tổ chuyên gia có kinh nghiệm, năng lực phù hợp để xác định chi phí thuê dịch vụ theo yêu cầu riêng.</w:t>
      </w:r>
    </w:p>
    <w:p w:rsidR="00000000" w:rsidDel="00000000" w:rsidP="00000000" w:rsidRDefault="00000000" w:rsidRPr="00000000" w14:paraId="00000008">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3. Phương pháp báo giá</w:t>
      </w:r>
    </w:p>
    <w:p w:rsidR="00000000" w:rsidDel="00000000" w:rsidP="00000000" w:rsidRDefault="00000000" w:rsidRPr="00000000" w14:paraId="00000009">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Xác định chi phí thuê dịch vụ theo yêu cầu riêng theo phương pháp báo giá thực hiện theo phương pháp xác định chi phí theo báo giá được hướng dẫn tại Phụ lục số 07 ban hành kèm theo Thông tư này.</w:t>
      </w:r>
    </w:p>
    <w:p w:rsidR="00000000" w:rsidDel="00000000" w:rsidP="00000000" w:rsidRDefault="00000000" w:rsidRPr="00000000" w14:paraId="0000000A">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4. Phương pháp tính chi phí</w:t>
      </w:r>
    </w:p>
    <w:p w:rsidR="00000000" w:rsidDel="00000000" w:rsidP="00000000" w:rsidRDefault="00000000" w:rsidRPr="00000000" w14:paraId="0000000B">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Chi phí thuê dịch vụ theo yêu cầu riêng được xác định theo công thức:</w:t>
      </w:r>
    </w:p>
    <w:p w:rsidR="00000000" w:rsidDel="00000000" w:rsidP="00000000" w:rsidRDefault="00000000" w:rsidRPr="00000000" w14:paraId="0000000C">
      <w:pPr>
        <w:pBdr>
          <w:left w:color="auto" w:space="0" w:sz="0" w:val="none"/>
          <w:right w:color="auto" w:space="0" w:sz="0" w:val="none"/>
        </w:pBdr>
        <w:shd w:fill="ffffff" w:val="clear"/>
        <w:spacing w:before="120" w:lineRule="auto"/>
        <w:jc w:val="center"/>
        <w:rPr>
          <w:sz w:val="20"/>
          <w:szCs w:val="20"/>
          <w:vertAlign w:val="subscript"/>
        </w:rPr>
      </w:pPr>
      <w:r w:rsidDel="00000000" w:rsidR="00000000" w:rsidRPr="00000000">
        <w:rPr>
          <w:sz w:val="20"/>
          <w:szCs w:val="20"/>
          <w:rtl w:val="0"/>
        </w:rPr>
        <w:t xml:space="preserve">G</w:t>
      </w:r>
      <w:r w:rsidDel="00000000" w:rsidR="00000000" w:rsidRPr="00000000">
        <w:rPr>
          <w:sz w:val="20"/>
          <w:szCs w:val="20"/>
          <w:vertAlign w:val="subscript"/>
          <w:rtl w:val="0"/>
        </w:rPr>
        <w:t xml:space="preserve">t </w:t>
      </w:r>
      <w:r w:rsidDel="00000000" w:rsidR="00000000" w:rsidRPr="00000000">
        <w:rPr>
          <w:sz w:val="20"/>
          <w:szCs w:val="20"/>
          <w:rtl w:val="0"/>
        </w:rPr>
        <w:t xml:space="preserve">= G</w:t>
      </w:r>
      <w:r w:rsidDel="00000000" w:rsidR="00000000" w:rsidRPr="00000000">
        <w:rPr>
          <w:sz w:val="20"/>
          <w:szCs w:val="20"/>
          <w:vertAlign w:val="subscript"/>
          <w:rtl w:val="0"/>
        </w:rPr>
        <w:t xml:space="preserve">tdv </w:t>
      </w:r>
      <w:r w:rsidDel="00000000" w:rsidR="00000000" w:rsidRPr="00000000">
        <w:rPr>
          <w:sz w:val="20"/>
          <w:szCs w:val="20"/>
          <w:rtl w:val="0"/>
        </w:rPr>
        <w:t xml:space="preserve">+</w:t>
      </w:r>
      <w:r w:rsidDel="00000000" w:rsidR="00000000" w:rsidRPr="00000000">
        <w:rPr>
          <w:sz w:val="20"/>
          <w:szCs w:val="20"/>
          <w:vertAlign w:val="subscript"/>
          <w:rtl w:val="0"/>
        </w:rPr>
        <w:t xml:space="preserve"> </w:t>
      </w:r>
      <w:r w:rsidDel="00000000" w:rsidR="00000000" w:rsidRPr="00000000">
        <w:rPr>
          <w:sz w:val="20"/>
          <w:szCs w:val="20"/>
          <w:rtl w:val="0"/>
        </w:rPr>
        <w:t xml:space="preserve">G</w:t>
      </w:r>
      <w:r w:rsidDel="00000000" w:rsidR="00000000" w:rsidRPr="00000000">
        <w:rPr>
          <w:sz w:val="20"/>
          <w:szCs w:val="20"/>
          <w:vertAlign w:val="subscript"/>
          <w:rtl w:val="0"/>
        </w:rPr>
        <w:t xml:space="preserve">v </w:t>
      </w:r>
      <w:r w:rsidDel="00000000" w:rsidR="00000000" w:rsidRPr="00000000">
        <w:rPr>
          <w:sz w:val="20"/>
          <w:szCs w:val="20"/>
          <w:rtl w:val="0"/>
        </w:rPr>
        <w:t xml:space="preserve">+ G</w:t>
      </w:r>
      <w:r w:rsidDel="00000000" w:rsidR="00000000" w:rsidRPr="00000000">
        <w:rPr>
          <w:sz w:val="20"/>
          <w:szCs w:val="20"/>
          <w:vertAlign w:val="subscript"/>
          <w:rtl w:val="0"/>
        </w:rPr>
        <w:t xml:space="preserve">bt</w:t>
      </w:r>
      <w:r w:rsidDel="00000000" w:rsidR="00000000" w:rsidRPr="00000000">
        <w:rPr>
          <w:sz w:val="20"/>
          <w:szCs w:val="20"/>
          <w:rtl w:val="0"/>
        </w:rPr>
        <w:t xml:space="preserve"> + G</w:t>
      </w:r>
      <w:r w:rsidDel="00000000" w:rsidR="00000000" w:rsidRPr="00000000">
        <w:rPr>
          <w:sz w:val="20"/>
          <w:szCs w:val="20"/>
          <w:vertAlign w:val="subscript"/>
          <w:rtl w:val="0"/>
        </w:rPr>
        <w:t xml:space="preserve">k</w:t>
      </w:r>
    </w:p>
    <w:p w:rsidR="00000000" w:rsidDel="00000000" w:rsidP="00000000" w:rsidRDefault="00000000" w:rsidRPr="00000000" w14:paraId="0000000D">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0E">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G</w:t>
      </w:r>
      <w:r w:rsidDel="00000000" w:rsidR="00000000" w:rsidRPr="00000000">
        <w:rPr>
          <w:sz w:val="20"/>
          <w:szCs w:val="20"/>
          <w:vertAlign w:val="subscript"/>
          <w:rtl w:val="0"/>
        </w:rPr>
        <w:t xml:space="preserve">t</w:t>
      </w:r>
      <w:r w:rsidDel="00000000" w:rsidR="00000000" w:rsidRPr="00000000">
        <w:rPr>
          <w:sz w:val="20"/>
          <w:szCs w:val="20"/>
          <w:rtl w:val="0"/>
        </w:rPr>
        <w:t xml:space="preserve">: Chi phí thuê dịch vụ theo yêu cầu riêng (đồng)</w:t>
      </w:r>
    </w:p>
    <w:p w:rsidR="00000000" w:rsidDel="00000000" w:rsidP="00000000" w:rsidRDefault="00000000" w:rsidRPr="00000000" w14:paraId="0000000F">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G</w:t>
      </w:r>
      <w:r w:rsidDel="00000000" w:rsidR="00000000" w:rsidRPr="00000000">
        <w:rPr>
          <w:sz w:val="20"/>
          <w:szCs w:val="20"/>
          <w:vertAlign w:val="subscript"/>
          <w:rtl w:val="0"/>
        </w:rPr>
        <w:t xml:space="preserve">tdv</w:t>
      </w:r>
      <w:r w:rsidDel="00000000" w:rsidR="00000000" w:rsidRPr="00000000">
        <w:rPr>
          <w:sz w:val="20"/>
          <w:szCs w:val="20"/>
          <w:rtl w:val="0"/>
        </w:rPr>
        <w:t xml:space="preserve">: Chi phí dịch vụ (đồng)</w:t>
      </w:r>
    </w:p>
    <w:p w:rsidR="00000000" w:rsidDel="00000000" w:rsidP="00000000" w:rsidRDefault="00000000" w:rsidRPr="00000000" w14:paraId="00000010">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G</w:t>
      </w:r>
      <w:r w:rsidDel="00000000" w:rsidR="00000000" w:rsidRPr="00000000">
        <w:rPr>
          <w:sz w:val="20"/>
          <w:szCs w:val="20"/>
          <w:vertAlign w:val="subscript"/>
          <w:rtl w:val="0"/>
        </w:rPr>
        <w:t xml:space="preserve">v</w:t>
      </w:r>
      <w:r w:rsidDel="00000000" w:rsidR="00000000" w:rsidRPr="00000000">
        <w:rPr>
          <w:sz w:val="20"/>
          <w:szCs w:val="20"/>
          <w:rtl w:val="0"/>
        </w:rPr>
        <w:t xml:space="preserve">: Chi phí quản trị, vận hành dịch vụ (đồng)</w:t>
      </w:r>
    </w:p>
    <w:p w:rsidR="00000000" w:rsidDel="00000000" w:rsidP="00000000" w:rsidRDefault="00000000" w:rsidRPr="00000000" w14:paraId="00000011">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G</w:t>
      </w:r>
      <w:r w:rsidDel="00000000" w:rsidR="00000000" w:rsidRPr="00000000">
        <w:rPr>
          <w:sz w:val="20"/>
          <w:szCs w:val="20"/>
          <w:vertAlign w:val="subscript"/>
          <w:rtl w:val="0"/>
        </w:rPr>
        <w:t xml:space="preserve">bt</w:t>
      </w:r>
      <w:r w:rsidDel="00000000" w:rsidR="00000000" w:rsidRPr="00000000">
        <w:rPr>
          <w:sz w:val="20"/>
          <w:szCs w:val="20"/>
          <w:rtl w:val="0"/>
        </w:rPr>
        <w:t xml:space="preserve">: Chi phí bảo trì dịch vụ (đồng)</w:t>
      </w:r>
    </w:p>
    <w:p w:rsidR="00000000" w:rsidDel="00000000" w:rsidP="00000000" w:rsidRDefault="00000000" w:rsidRPr="00000000" w14:paraId="00000012">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G</w:t>
      </w:r>
      <w:r w:rsidDel="00000000" w:rsidR="00000000" w:rsidRPr="00000000">
        <w:rPr>
          <w:sz w:val="20"/>
          <w:szCs w:val="20"/>
          <w:vertAlign w:val="subscript"/>
          <w:rtl w:val="0"/>
        </w:rPr>
        <w:t xml:space="preserve">k</w:t>
      </w:r>
      <w:r w:rsidDel="00000000" w:rsidR="00000000" w:rsidRPr="00000000">
        <w:rPr>
          <w:sz w:val="20"/>
          <w:szCs w:val="20"/>
          <w:rtl w:val="0"/>
        </w:rPr>
        <w:t xml:space="preserve">: Chi phí khác liên quan đến cung cấp dịch vụ (đồng)</w:t>
      </w:r>
    </w:p>
    <w:p w:rsidR="00000000" w:rsidDel="00000000" w:rsidP="00000000" w:rsidRDefault="00000000" w:rsidRPr="00000000" w14:paraId="00000013">
      <w:pPr>
        <w:pStyle w:val="Heading3"/>
        <w:keepNext w:val="0"/>
        <w:keepLines w:val="0"/>
        <w:pBdr>
          <w:left w:color="auto" w:space="0" w:sz="0" w:val="none"/>
          <w:right w:color="auto" w:space="0" w:sz="0" w:val="none"/>
        </w:pBdr>
        <w:shd w:fill="ffffff" w:val="clear"/>
        <w:spacing w:after="0" w:before="0" w:lineRule="auto"/>
        <w:rPr>
          <w:color w:val="000000"/>
          <w:sz w:val="20"/>
          <w:szCs w:val="20"/>
        </w:rPr>
      </w:pPr>
      <w:bookmarkStart w:colFirst="0" w:colLast="0" w:name="_5atv6nhj9r0x" w:id="1"/>
      <w:bookmarkEnd w:id="1"/>
      <w:r w:rsidDel="00000000" w:rsidR="00000000" w:rsidRPr="00000000">
        <w:rPr>
          <w:color w:val="000000"/>
          <w:sz w:val="20"/>
          <w:szCs w:val="20"/>
          <w:rtl w:val="0"/>
        </w:rPr>
        <w:t xml:space="preserve">4.1. Xác định chi phí dịch vụ (G</w:t>
      </w:r>
      <w:r w:rsidDel="00000000" w:rsidR="00000000" w:rsidRPr="00000000">
        <w:rPr>
          <w:color w:val="000000"/>
          <w:sz w:val="20"/>
          <w:szCs w:val="20"/>
          <w:vertAlign w:val="subscript"/>
          <w:rtl w:val="0"/>
        </w:rPr>
        <w:t xml:space="preserve">tdv</w:t>
      </w:r>
      <w:r w:rsidDel="00000000" w:rsidR="00000000" w:rsidRPr="00000000">
        <w:rPr>
          <w:color w:val="000000"/>
          <w:sz w:val="20"/>
          <w:szCs w:val="20"/>
          <w:rtl w:val="0"/>
        </w:rPr>
        <w:t xml:space="preserve">)</w:t>
      </w:r>
    </w:p>
    <w:p w:rsidR="00000000" w:rsidDel="00000000" w:rsidP="00000000" w:rsidRDefault="00000000" w:rsidRPr="00000000" w14:paraId="0000001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4.1.1. Chi phí dịch vụ được xác định theo công thức:</w:t>
      </w:r>
    </w:p>
    <w:p w:rsidR="00000000" w:rsidDel="00000000" w:rsidP="00000000" w:rsidRDefault="00000000" w:rsidRPr="00000000" w14:paraId="00000015">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tl w:val="0"/>
        </w:rPr>
        <w:t xml:space="preserve">G</w:t>
      </w:r>
      <w:r w:rsidDel="00000000" w:rsidR="00000000" w:rsidRPr="00000000">
        <w:rPr>
          <w:sz w:val="20"/>
          <w:szCs w:val="20"/>
          <w:vertAlign w:val="subscript"/>
          <w:rtl w:val="0"/>
        </w:rPr>
        <w:t xml:space="preserve">tdv = </w:t>
      </w:r>
      <w:r w:rsidDel="00000000" w:rsidR="00000000" w:rsidRPr="00000000">
        <w:rPr>
          <w:sz w:val="20"/>
          <w:szCs w:val="20"/>
          <w:rtl w:val="0"/>
        </w:rPr>
        <w:t xml:space="preserve">G</w:t>
      </w:r>
      <w:r w:rsidDel="00000000" w:rsidR="00000000" w:rsidRPr="00000000">
        <w:rPr>
          <w:sz w:val="20"/>
          <w:szCs w:val="20"/>
          <w:vertAlign w:val="subscript"/>
          <w:rtl w:val="0"/>
        </w:rPr>
        <w:t xml:space="preserve">dv </w:t>
      </w:r>
      <w:r w:rsidDel="00000000" w:rsidR="00000000" w:rsidRPr="00000000">
        <w:rPr>
          <w:sz w:val="20"/>
          <w:szCs w:val="20"/>
          <w:rtl w:val="0"/>
        </w:rPr>
        <w:t xml:space="preserve">* n</w:t>
      </w:r>
    </w:p>
    <w:p w:rsidR="00000000" w:rsidDel="00000000" w:rsidP="00000000" w:rsidRDefault="00000000" w:rsidRPr="00000000" w14:paraId="00000016">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17">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G</w:t>
      </w:r>
      <w:r w:rsidDel="00000000" w:rsidR="00000000" w:rsidRPr="00000000">
        <w:rPr>
          <w:sz w:val="20"/>
          <w:szCs w:val="20"/>
          <w:vertAlign w:val="subscript"/>
          <w:rtl w:val="0"/>
        </w:rPr>
        <w:t xml:space="preserve">dv</w:t>
      </w:r>
      <w:r w:rsidDel="00000000" w:rsidR="00000000" w:rsidRPr="00000000">
        <w:rPr>
          <w:sz w:val="20"/>
          <w:szCs w:val="20"/>
          <w:rtl w:val="0"/>
        </w:rPr>
        <w:t xml:space="preserve">: Chi phí dịch vụ theo kỳ thanh toán được xác định theo mục 4.1.2 Phụ lục này.</w:t>
      </w:r>
    </w:p>
    <w:p w:rsidR="00000000" w:rsidDel="00000000" w:rsidP="00000000" w:rsidRDefault="00000000" w:rsidRPr="00000000" w14:paraId="00000018">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n: Số kỳ thanh toán trong thời gian thuê dịch vụ theo yêu cầu riêng.</w:t>
      </w:r>
    </w:p>
    <w:p w:rsidR="00000000" w:rsidDel="00000000" w:rsidP="00000000" w:rsidRDefault="00000000" w:rsidRPr="00000000" w14:paraId="00000019">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4.1.2. Chi phí dịch vụ theo kỳ thanh toán được thanh toán đều nhau vào cuối kỳ, công thức xác định như sau:</w:t>
      </w:r>
    </w:p>
    <w:p w:rsidR="00000000" w:rsidDel="00000000" w:rsidP="00000000" w:rsidRDefault="00000000" w:rsidRPr="00000000" w14:paraId="0000001A">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2717800" cy="4318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178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1C">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T</w:t>
      </w:r>
      <w:r w:rsidDel="00000000" w:rsidR="00000000" w:rsidRPr="00000000">
        <w:rPr>
          <w:sz w:val="20"/>
          <w:szCs w:val="20"/>
          <w:vertAlign w:val="subscript"/>
          <w:rtl w:val="0"/>
        </w:rPr>
        <w:t xml:space="preserve">đ</w:t>
      </w:r>
      <w:r w:rsidDel="00000000" w:rsidR="00000000" w:rsidRPr="00000000">
        <w:rPr>
          <w:sz w:val="20"/>
          <w:szCs w:val="20"/>
          <w:rtl w:val="0"/>
        </w:rPr>
        <w:t xml:space="preserve">: Chi phí xây dựng, phát triển hình thành dịch vụ trước thuế giá trị gia tăng (đồng). Chi phí xây dựng, phát triển hình thành dịch vụ được tính theo quy định tại </w:t>
      </w:r>
      <w:r w:rsidDel="00000000" w:rsidR="00000000" w:rsidRPr="00000000">
        <w:rPr>
          <w:color w:val="0000ff"/>
          <w:sz w:val="20"/>
          <w:szCs w:val="20"/>
          <w:rtl w:val="0"/>
        </w:rPr>
        <w:t xml:space="preserve">khoản 1, 2 Điều 6 Thông tư này</w:t>
      </w:r>
      <w:r w:rsidDel="00000000" w:rsidR="00000000" w:rsidRPr="00000000">
        <w:rPr>
          <w:sz w:val="20"/>
          <w:szCs w:val="20"/>
          <w:rtl w:val="0"/>
        </w:rPr>
        <w:t xml:space="preserve">.</w:t>
      </w:r>
    </w:p>
    <w:p w:rsidR="00000000" w:rsidDel="00000000" w:rsidP="00000000" w:rsidRDefault="00000000" w:rsidRPr="00000000" w14:paraId="0000001D">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r: Mức lãi suất cho thuê theo kỳ thanh toán (%). r được xác định:</w:t>
      </w:r>
    </w:p>
    <w:p w:rsidR="00000000" w:rsidDel="00000000" w:rsidP="00000000" w:rsidRDefault="00000000" w:rsidRPr="00000000" w14:paraId="0000001E">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457200" cy="4445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7200" cy="4445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N: Bình quân lãi suất trung bình của lãi suất huy động tiền gửi Việt Nam đồng của kỳ hạn 01 năm và kỳ hạn tương ứng với số năm thuê dịch vụ theo yêu cầu riêng (trường hợp không có kỳ hạn tương ứng thì lấy theo kỳ hạn thấp hơn gần nhất với số năm thuê dịch vụ theo yêu cầu riêng) được niêm yết của 03 ngân hàng thương mại cổ phần trong nước của Việt Nam tại thời điểm gần nhất trong vòng 06 tháng trước thời điểm phê duyệt kế hoạch thuê dịch vụ theo yêu cầu riêng.</w:t>
      </w:r>
    </w:p>
    <w:p w:rsidR="00000000" w:rsidDel="00000000" w:rsidP="00000000" w:rsidRDefault="00000000" w:rsidRPr="00000000" w14:paraId="00000020">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k: Số kỳ thanh toán trong một năm thuê dịch vụ theo yêu cầu riêng.</w:t>
      </w:r>
    </w:p>
    <w:p w:rsidR="00000000" w:rsidDel="00000000" w:rsidP="00000000" w:rsidRDefault="00000000" w:rsidRPr="00000000" w14:paraId="00000021">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S: Giá trị còn lại của tài sản cấu thành dịch vụ của bên cho thuê tại thời điểm kết thúc thời gian thuê dịch vụ theo yêu cầu riêng sau khi trích hao mòn, khấu hao theo quy định về chế độ quản lý, tính hao mòn, khấu hao tài sản cố định tại cơ quan, tổ chức, đơn vị và tài sản cố định do Nhà nước giao cho doanh nghiệp quản lý không tính thành phần vốn nhà nước tại doanh nghiệp (sử dụng phương pháp khấu hao theo đường thẳng) (đồng).</w:t>
      </w:r>
    </w:p>
    <w:p w:rsidR="00000000" w:rsidDel="00000000" w:rsidP="00000000" w:rsidRDefault="00000000" w:rsidRPr="00000000" w14:paraId="00000022">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GTGT: Thuế giá trị gia tăng.</w:t>
      </w:r>
    </w:p>
    <w:p w:rsidR="00000000" w:rsidDel="00000000" w:rsidP="00000000" w:rsidRDefault="00000000" w:rsidRPr="00000000" w14:paraId="00000023">
      <w:pPr>
        <w:pStyle w:val="Heading3"/>
        <w:keepNext w:val="0"/>
        <w:keepLines w:val="0"/>
        <w:pBdr>
          <w:left w:color="auto" w:space="0" w:sz="0" w:val="none"/>
          <w:right w:color="auto" w:space="0" w:sz="0" w:val="none"/>
        </w:pBdr>
        <w:shd w:fill="ffffff" w:val="clear"/>
        <w:spacing w:after="0" w:before="0" w:lineRule="auto"/>
        <w:rPr>
          <w:color w:val="000000"/>
          <w:sz w:val="20"/>
          <w:szCs w:val="20"/>
        </w:rPr>
      </w:pPr>
      <w:bookmarkStart w:colFirst="0" w:colLast="0" w:name="_4swdtnxcn1fl" w:id="2"/>
      <w:bookmarkEnd w:id="2"/>
      <w:r w:rsidDel="00000000" w:rsidR="00000000" w:rsidRPr="00000000">
        <w:rPr>
          <w:color w:val="000000"/>
          <w:sz w:val="20"/>
          <w:szCs w:val="20"/>
          <w:rtl w:val="0"/>
        </w:rPr>
        <w:t xml:space="preserve">4.2. Xác định chi phí quản trị, vận hành dịch vụ (G</w:t>
      </w:r>
      <w:r w:rsidDel="00000000" w:rsidR="00000000" w:rsidRPr="00000000">
        <w:rPr>
          <w:color w:val="000000"/>
          <w:sz w:val="20"/>
          <w:szCs w:val="20"/>
          <w:vertAlign w:val="subscript"/>
          <w:rtl w:val="0"/>
        </w:rPr>
        <w:t xml:space="preserve">v</w:t>
      </w:r>
      <w:r w:rsidDel="00000000" w:rsidR="00000000" w:rsidRPr="00000000">
        <w:rPr>
          <w:color w:val="000000"/>
          <w:sz w:val="20"/>
          <w:szCs w:val="20"/>
          <w:rtl w:val="0"/>
        </w:rPr>
        <w:t xml:space="preserve">), chi phí bảo trì dịch vụ (G</w:t>
      </w:r>
      <w:r w:rsidDel="00000000" w:rsidR="00000000" w:rsidRPr="00000000">
        <w:rPr>
          <w:color w:val="000000"/>
          <w:sz w:val="20"/>
          <w:szCs w:val="20"/>
          <w:vertAlign w:val="subscript"/>
          <w:rtl w:val="0"/>
        </w:rPr>
        <w:t xml:space="preserve">bt</w:t>
      </w:r>
      <w:r w:rsidDel="00000000" w:rsidR="00000000" w:rsidRPr="00000000">
        <w:rPr>
          <w:color w:val="000000"/>
          <w:sz w:val="20"/>
          <w:szCs w:val="20"/>
          <w:rtl w:val="0"/>
        </w:rPr>
        <w:t xml:space="preserve">) và chi phí khác liên quan đến cung cấp dịch vụ (G</w:t>
      </w:r>
      <w:r w:rsidDel="00000000" w:rsidR="00000000" w:rsidRPr="00000000">
        <w:rPr>
          <w:color w:val="000000"/>
          <w:sz w:val="20"/>
          <w:szCs w:val="20"/>
          <w:vertAlign w:val="subscript"/>
          <w:rtl w:val="0"/>
        </w:rPr>
        <w:t xml:space="preserve">k</w:t>
      </w:r>
      <w:r w:rsidDel="00000000" w:rsidR="00000000" w:rsidRPr="00000000">
        <w:rPr>
          <w:color w:val="000000"/>
          <w:sz w:val="20"/>
          <w:szCs w:val="20"/>
          <w:rtl w:val="0"/>
        </w:rPr>
        <w:t xml:space="preserve">)</w:t>
      </w:r>
    </w:p>
    <w:p w:rsidR="00000000" w:rsidDel="00000000" w:rsidP="00000000" w:rsidRDefault="00000000" w:rsidRPr="00000000" w14:paraId="0000002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4.2.1. Chi phí quản trị, vận hành và bảo trì dịch vụ được xác định theo các phương pháp quy định tại </w:t>
      </w:r>
      <w:r w:rsidDel="00000000" w:rsidR="00000000" w:rsidRPr="00000000">
        <w:rPr>
          <w:color w:val="0000ff"/>
          <w:sz w:val="20"/>
          <w:szCs w:val="20"/>
          <w:rtl w:val="0"/>
        </w:rPr>
        <w:t xml:space="preserve">Điều 9 Thông tư này</w:t>
      </w:r>
      <w:r w:rsidDel="00000000" w:rsidR="00000000" w:rsidRPr="00000000">
        <w:rPr>
          <w:sz w:val="20"/>
          <w:szCs w:val="20"/>
          <w:rtl w:val="0"/>
        </w:rPr>
        <w:t xml:space="preserve">.</w:t>
      </w:r>
    </w:p>
    <w:p w:rsidR="00000000" w:rsidDel="00000000" w:rsidP="00000000" w:rsidRDefault="00000000" w:rsidRPr="00000000" w14:paraId="00000025">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4.2.2. Chi phí khác liên quan đến cung cấp dịch vụ được xác định theo một trong các phương pháp sau:</w:t>
      </w:r>
    </w:p>
    <w:p w:rsidR="00000000" w:rsidDel="00000000" w:rsidP="00000000" w:rsidRDefault="00000000" w:rsidRPr="00000000" w14:paraId="00000026">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a) Theo phương pháp báo giá thực hiện theo hướng dẫn tại Phụ lục số 07 ban hành kèm theo Thông tư này;</w:t>
      </w:r>
    </w:p>
    <w:p w:rsidR="00000000" w:rsidDel="00000000" w:rsidP="00000000" w:rsidRDefault="00000000" w:rsidRPr="00000000" w14:paraId="00000027">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b) Theo phương pháp tính chi phí theo khối lượng và đơn giá theo hướng dẫn tại Phụ lục số 04 ban hành kèm theo Thông tư này;</w:t>
      </w:r>
    </w:p>
    <w:p w:rsidR="00000000" w:rsidDel="00000000" w:rsidP="00000000" w:rsidRDefault="00000000" w:rsidRPr="00000000" w14:paraId="00000028">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c) Theo phương pháp xác định chi phí theo chuyên gia theo hướng dẫn tại Phụ lục số 06 ban hành kèm theo Thông tư này;</w:t>
      </w:r>
    </w:p>
    <w:p w:rsidR="00000000" w:rsidDel="00000000" w:rsidP="00000000" w:rsidRDefault="00000000" w:rsidRPr="00000000" w14:paraId="00000029">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d) Kết hợp các phương pháp.</w:t>
      </w:r>
    </w:p>
    <w:p w:rsidR="00000000" w:rsidDel="00000000" w:rsidP="00000000" w:rsidRDefault="00000000" w:rsidRPr="00000000" w14:paraId="0000002A">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5. Kết hợp các phương pháp</w:t>
      </w:r>
    </w:p>
    <w:p w:rsidR="00000000" w:rsidDel="00000000" w:rsidP="00000000" w:rsidRDefault="00000000" w:rsidRPr="00000000" w14:paraId="0000002B">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Tuỳ theo điều kiện, yêu cầu cụ thể của hoạt động thuê dịch vụ theo yêu cầu riêng và nguồn số liệu có được có thể kết hợp các phương pháp tại mục 1, 2, 3, 4 Phụ lục này để xác định chi phí thuê dịch vụ theo yêu cầu riêng.</w:t>
      </w:r>
    </w:p>
    <w:p w:rsidR="00000000" w:rsidDel="00000000" w:rsidP="00000000" w:rsidRDefault="00000000" w:rsidRPr="00000000" w14:paraId="0000002C">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9.0455322265625"/>
        <w:gridCol w:w="7719.9544677734375"/>
        <w:tblGridChange w:id="0">
          <w:tblGrid>
            <w:gridCol w:w="1309.0455322265625"/>
            <w:gridCol w:w="7719.9544677734375"/>
          </w:tblGrid>
        </w:tblGridChange>
      </w:tblGrid>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Đến</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Người</w:t>
            </w:r>
            <w:r w:rsidDel="00000000" w:rsidR="00000000" w:rsidRPr="00000000">
              <w:rPr>
                <w:rtl w:val="0"/>
              </w:rPr>
              <w:t xml:space="preserve"> </w:t>
            </w:r>
            <w:r w:rsidDel="00000000" w:rsidR="00000000" w:rsidRPr="00000000">
              <w:rPr>
                <w:rtl w:val="0"/>
              </w:rPr>
              <w:t xml:space="preserve">Người</w:t>
            </w:r>
            <w:r w:rsidDel="00000000" w:rsidR="00000000" w:rsidRPr="00000000">
              <w:rPr>
                <w:rtl w:val="0"/>
              </w:rPr>
              <w:t xml:space="preserve"> </w:t>
            </w:r>
            <w:r w:rsidDel="00000000" w:rsidR="00000000" w:rsidRPr="00000000">
              <w:rPr>
                <w:rtl w:val="0"/>
              </w:rPr>
              <w:t xml:space="preserve">Người</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Cc</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Người</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Bcc</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Người</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Tiêu đề</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000" w:hRule="atLeast"/>
          <w:tblHeader w:val="0"/>
        </w:trPr>
        <w:tc>
          <w:tcPr>
            <w:gridSpan w:val="2"/>
            <w:tcBorders>
              <w:top w:color="bdc1c6" w:space="0" w:sz="8" w:val="single"/>
              <w:left w:color="000000" w:space="0" w:sz="0" w:val="nil"/>
              <w:bottom w:color="bdc1c6" w:space="0" w:sz="8" w:val="single"/>
              <w:right w:color="bdc1c6" w:space="0" w:sz="8" w:val="single"/>
            </w:tcBorders>
            <w:shd w:fill="auto" w:val="clear"/>
            <w:tcMar>
              <w:top w:w="240.0" w:type="dxa"/>
              <w:left w:w="144.0" w:type="dxa"/>
              <w:bottom w:w="144.0" w:type="dxa"/>
              <w:right w:w="144.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