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left w:color="auto" w:space="0" w:sz="0" w:val="none"/>
          <w:right w:color="auto" w:space="0" w:sz="0" w:val="none"/>
        </w:pBdr>
        <w:shd w:fill="ffffff" w:val="clear"/>
        <w:spacing w:after="0" w:before="0" w:lineRule="auto"/>
        <w:rPr>
          <w:b w:val="1"/>
          <w:sz w:val="24"/>
          <w:szCs w:val="24"/>
        </w:rPr>
      </w:pPr>
      <w:bookmarkStart w:colFirst="0" w:colLast="0" w:name="_tuy2omt1e2k9" w:id="0"/>
      <w:bookmarkEnd w:id="0"/>
      <w:r w:rsidDel="00000000" w:rsidR="00000000" w:rsidRPr="00000000">
        <w:rPr>
          <w:b w:val="1"/>
          <w:sz w:val="24"/>
          <w:szCs w:val="24"/>
          <w:rtl w:val="0"/>
        </w:rPr>
        <w:t xml:space="preserve">PHỤ LỤC SỐ 04</w:t>
      </w:r>
    </w:p>
    <w:p w:rsidR="00000000" w:rsidDel="00000000" w:rsidP="00000000" w:rsidRDefault="00000000" w:rsidRPr="00000000" w14:paraId="00000002">
      <w:pPr>
        <w:pBdr>
          <w:left w:color="auto" w:space="0" w:sz="0" w:val="none"/>
          <w:right w:color="auto" w:space="0" w:sz="0" w:val="none"/>
        </w:pBdr>
        <w:shd w:fill="ffffff" w:val="clear"/>
        <w:spacing w:before="120" w:lineRule="auto"/>
        <w:jc w:val="center"/>
        <w:rPr>
          <w:i w:val="1"/>
          <w:sz w:val="20"/>
          <w:szCs w:val="20"/>
        </w:rPr>
      </w:pPr>
      <w:r w:rsidDel="00000000" w:rsidR="00000000" w:rsidRPr="00000000">
        <w:rPr>
          <w:sz w:val="20"/>
          <w:szCs w:val="20"/>
          <w:rtl w:val="0"/>
        </w:rPr>
        <w:t xml:space="preserve">PHƯƠNG PHÁP XÁC ĐỊNH CHI PHÍ THEO KHỐI LƯỢNG VÀ ĐƠN GIÁ</w:t>
        <w:br w:type="textWrapping"/>
        <w:t xml:space="preserve"> </w:t>
      </w:r>
      <w:r w:rsidDel="00000000" w:rsidR="00000000" w:rsidRPr="00000000">
        <w:rPr>
          <w:i w:val="1"/>
          <w:sz w:val="20"/>
          <w:szCs w:val="20"/>
          <w:rtl w:val="0"/>
        </w:rPr>
        <w:t xml:space="preserve">(Ban hành kèm theo Thông tư số 18/2024/TT-BTTTT ngày 30 tháng 12 năm 2024 của Bộ trưởng Bộ Thông tin và Truyền thông)</w:t>
      </w:r>
    </w:p>
    <w:p w:rsidR="00000000" w:rsidDel="00000000" w:rsidP="00000000" w:rsidRDefault="00000000" w:rsidRPr="00000000" w14:paraId="00000003">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1. Phạm vi áp dụng</w:t>
      </w:r>
    </w:p>
    <w:p w:rsidR="00000000" w:rsidDel="00000000" w:rsidP="00000000" w:rsidRDefault="00000000" w:rsidRPr="00000000" w14:paraId="0000000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Phương pháp xác định chi phí theo khối lượng và đơn giá được dùng trong việc xác định các chi phí sau:</w:t>
      </w:r>
    </w:p>
    <w:p w:rsidR="00000000" w:rsidDel="00000000" w:rsidP="00000000" w:rsidRDefault="00000000" w:rsidRPr="00000000" w14:paraId="0000000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1.1. Đối với xác định tổng mức đầu tư, dự toán dự án:</w:t>
      </w:r>
    </w:p>
    <w:p w:rsidR="00000000" w:rsidDel="00000000" w:rsidP="00000000" w:rsidRDefault="00000000" w:rsidRPr="00000000" w14:paraId="0000000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Chi phí xây lắp;</w:t>
      </w:r>
    </w:p>
    <w:p w:rsidR="00000000" w:rsidDel="00000000" w:rsidP="00000000" w:rsidRDefault="00000000" w:rsidRPr="00000000" w14:paraId="0000000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Chi phí tạo lập cơ sở dữ liệu; chuẩn hóa, chuyển đổi phục vụ cho nhập dữ liệu, tạo lập cơ sở dữ liệu; thực hiện nhập dữ liệu cho cơ sở dữ liệu đối với hạng mục chi phí có định mức kinh tế - kỹ thuật;</w:t>
      </w:r>
    </w:p>
    <w:p w:rsidR="00000000" w:rsidDel="00000000" w:rsidP="00000000" w:rsidRDefault="00000000" w:rsidRPr="00000000" w14:paraId="0000000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Chi phí lắp đặt, cài đặt trang thiết bị; cài đặt phần mềm; kiểm tra, hiệu chỉnh thiết bị và phần mềm đối với hạng mục chi phí có định mức kinh tế - kỹ thuật;</w:t>
      </w:r>
    </w:p>
    <w:p w:rsidR="00000000" w:rsidDel="00000000" w:rsidP="00000000" w:rsidRDefault="00000000" w:rsidRPr="00000000" w14:paraId="0000000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Chi phí đào tạo hướng dẫn sử dụng; chi phí đào tạo cho cán bộ quản trị, vận hành hệ thống (nếu có) đối với hạng mục đào tạo có định mức kinh tế - kỹ thuật;</w:t>
      </w:r>
    </w:p>
    <w:p w:rsidR="00000000" w:rsidDel="00000000" w:rsidP="00000000" w:rsidRDefault="00000000" w:rsidRPr="00000000" w14:paraId="0000000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Chi phí khác của tổng mức đầu tư, dự toán đối với các hạng mục chi phí có định mức kinh tế - kỹ thuật.</w:t>
      </w:r>
    </w:p>
    <w:p w:rsidR="00000000" w:rsidDel="00000000" w:rsidP="00000000" w:rsidRDefault="00000000" w:rsidRPr="00000000" w14:paraId="0000000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1.2. Đối với xác định chi phí quản trị, vận hành và bảo trì sản phẩm của dự án trong trường hợp hạng mục chi phí có định mức kinh tế - kỹ thuật.</w:t>
      </w:r>
    </w:p>
    <w:p w:rsidR="00000000" w:rsidDel="00000000" w:rsidP="00000000" w:rsidRDefault="00000000" w:rsidRPr="00000000" w14:paraId="0000000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1.3. Đối với xác định chi phí khác liên quan đến cung cấp dịch vụ theo yêu cầu riêng trường hợp hạng mục chi phí có định mức kinh tế - kỹ thuật.</w:t>
      </w:r>
    </w:p>
    <w:p w:rsidR="00000000" w:rsidDel="00000000" w:rsidP="00000000" w:rsidRDefault="00000000" w:rsidRPr="00000000" w14:paraId="0000000D">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 Xác định dự toán chi phí theo khối lượng và đơn giá</w:t>
      </w:r>
    </w:p>
    <w:p w:rsidR="00000000" w:rsidDel="00000000" w:rsidP="00000000" w:rsidRDefault="00000000" w:rsidRPr="00000000" w14:paraId="0000000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(G) được xác định theo công thức sau:</w:t>
      </w:r>
    </w:p>
    <w:p w:rsidR="00000000" w:rsidDel="00000000" w:rsidP="00000000" w:rsidRDefault="00000000" w:rsidRPr="00000000" w14:paraId="0000000F">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2311400" cy="304800"/>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114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công việc chủ yếu thứ j của dự án (j=1÷n);</w:t>
      </w:r>
    </w:p>
    <w:p w:rsidR="00000000" w:rsidDel="00000000" w:rsidP="00000000" w:rsidRDefault="00000000" w:rsidRPr="00000000" w14:paraId="0000001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DG</w:t>
      </w:r>
      <w:r w:rsidDel="00000000" w:rsidR="00000000" w:rsidRPr="00000000">
        <w:rPr>
          <w:sz w:val="20"/>
          <w:szCs w:val="20"/>
          <w:vertAlign w:val="subscript"/>
          <w:rtl w:val="0"/>
        </w:rPr>
        <w:t xml:space="preserve">j</w:t>
      </w:r>
      <w:r w:rsidDel="00000000" w:rsidR="00000000" w:rsidRPr="00000000">
        <w:rPr>
          <w:sz w:val="20"/>
          <w:szCs w:val="20"/>
          <w:rtl w:val="0"/>
        </w:rPr>
        <w:t xml:space="preserve">: Đơn giá công việc chủ yếu thứ j.</w:t>
      </w:r>
    </w:p>
    <w:p w:rsidR="00000000" w:rsidDel="00000000" w:rsidP="00000000" w:rsidRDefault="00000000" w:rsidRPr="00000000" w14:paraId="00000013">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2362200" cy="304800"/>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3622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Đơn giá có thể là đơn giá không đầy đủ hoặc đơn giá đầy đủ (bao gồm chi phí trực tiếp và cả chi phí chung, thu nhập chịu thuế tính trước) theo Bảng 4.1, Bảng 4.2 mục này;</w:t>
      </w:r>
    </w:p>
    <w:p w:rsidR="00000000" w:rsidDel="00000000" w:rsidP="00000000" w:rsidRDefault="00000000" w:rsidRPr="00000000" w14:paraId="0000001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w:t>
      </w:r>
      <w:r w:rsidDel="00000000" w:rsidR="00000000" w:rsidRPr="00000000">
        <w:rPr>
          <w:sz w:val="20"/>
          <w:szCs w:val="20"/>
          <w:vertAlign w:val="superscript"/>
          <w:rtl w:val="0"/>
        </w:rPr>
        <w:t xml:space="preserve">GTGT</w:t>
      </w:r>
      <w:r w:rsidDel="00000000" w:rsidR="00000000" w:rsidRPr="00000000">
        <w:rPr>
          <w:sz w:val="20"/>
          <w:szCs w:val="20"/>
          <w:rtl w:val="0"/>
        </w:rPr>
        <w:t xml:space="preserve">: Mức thuế suất thuế giá trị gia tăng quy định cho nội dung công việc tương ứng.</w:t>
      </w:r>
    </w:p>
    <w:p w:rsidR="00000000" w:rsidDel="00000000" w:rsidP="00000000" w:rsidRDefault="00000000" w:rsidRPr="00000000" w14:paraId="00000016">
      <w:pPr>
        <w:pStyle w:val="Heading1"/>
        <w:keepNext w:val="0"/>
        <w:keepLines w:val="0"/>
        <w:pBdr>
          <w:left w:color="auto" w:space="0" w:sz="0" w:val="none"/>
          <w:right w:color="auto" w:space="0" w:sz="0" w:val="none"/>
        </w:pBdr>
        <w:shd w:fill="ffffff" w:val="clear"/>
        <w:spacing w:after="0" w:before="0" w:lineRule="auto"/>
        <w:rPr>
          <w:b w:val="1"/>
          <w:color w:val="4a4a4a"/>
          <w:sz w:val="20"/>
          <w:szCs w:val="20"/>
        </w:rPr>
      </w:pPr>
      <w:bookmarkStart w:colFirst="0" w:colLast="0" w:name="_gyyhsghpyped" w:id="1"/>
      <w:bookmarkEnd w:id="1"/>
      <w:r w:rsidDel="00000000" w:rsidR="00000000" w:rsidRPr="00000000">
        <w:rPr>
          <w:b w:val="1"/>
          <w:color w:val="4a4a4a"/>
          <w:sz w:val="20"/>
          <w:szCs w:val="20"/>
          <w:rtl w:val="0"/>
        </w:rPr>
        <w:t xml:space="preserve">BẢNG 4.1: TỔNG HỢP DỰ TOÁN CHI PHÍ TÍNH THEO ĐƠN GIÁ KHÔNG ĐẦY ĐỦ</w:t>
      </w:r>
    </w:p>
    <w:tbl>
      <w:tblPr>
        <w:tblStyle w:val="Table1"/>
        <w:tblW w:w="88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50"/>
        <w:gridCol w:w="3390"/>
        <w:gridCol w:w="2685"/>
        <w:gridCol w:w="795"/>
        <w:gridCol w:w="1230"/>
        <w:tblGridChange w:id="0">
          <w:tblGrid>
            <w:gridCol w:w="750"/>
            <w:gridCol w:w="3390"/>
            <w:gridCol w:w="2685"/>
            <w:gridCol w:w="795"/>
            <w:gridCol w:w="123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NỘI DUNG CHI PHÍ</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CÁCH TÍNH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GIÁ TRỊ</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KÝ HIỆU</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TRỰC TIẾP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rPr>
                <w:sz w:val="18"/>
                <w:szCs w:val="18"/>
              </w:rPr>
            </w:pPr>
            <w:r w:rsidDel="00000000" w:rsidR="00000000" w:rsidRPr="00000000">
              <w:rPr>
                <w:rtl w:val="0"/>
              </w:rPr>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vật liệu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pBdr>
                <w:left w:color="auto" w:space="0" w:sz="0" w:val="none"/>
                <w:right w:color="auto" w:space="0" w:sz="0" w:val="none"/>
              </w:pBdr>
              <w:spacing w:before="120" w:lineRule="auto"/>
              <w:jc w:val="center"/>
              <w:rPr>
                <w:sz w:val="18"/>
                <w:szCs w:val="18"/>
              </w:rPr>
            </w:pPr>
            <w:r w:rsidDel="00000000" w:rsidR="00000000" w:rsidRPr="00000000">
              <w:rPr>
                <w:sz w:val="18"/>
                <w:szCs w:val="18"/>
              </w:rPr>
              <w:drawing>
                <wp:inline distB="114300" distT="114300" distL="114300" distR="114300">
                  <wp:extent cx="1155700" cy="3429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55700" cy="342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VL</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nhân công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pBdr>
                <w:left w:color="auto" w:space="0" w:sz="0" w:val="none"/>
                <w:right w:color="auto" w:space="0" w:sz="0" w:val="none"/>
              </w:pBdr>
              <w:spacing w:before="120" w:lineRule="auto"/>
              <w:jc w:val="center"/>
              <w:rPr>
                <w:sz w:val="18"/>
                <w:szCs w:val="18"/>
              </w:rPr>
            </w:pPr>
            <w:r w:rsidDel="00000000" w:rsidR="00000000" w:rsidRPr="00000000">
              <w:rPr>
                <w:sz w:val="18"/>
                <w:szCs w:val="18"/>
              </w:rPr>
              <w:drawing>
                <wp:inline distB="114300" distT="114300" distL="114300" distR="114300">
                  <wp:extent cx="1130300" cy="355600"/>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30300" cy="35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NC</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máy thi công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pBdr>
                <w:left w:color="auto" w:space="0" w:sz="0" w:val="none"/>
                <w:right w:color="auto" w:space="0" w:sz="0" w:val="none"/>
              </w:pBdr>
              <w:spacing w:before="120" w:lineRule="auto"/>
              <w:jc w:val="center"/>
              <w:rPr>
                <w:sz w:val="18"/>
                <w:szCs w:val="18"/>
              </w:rPr>
            </w:pPr>
            <w:r w:rsidDel="00000000" w:rsidR="00000000" w:rsidRPr="00000000">
              <w:rPr>
                <w:sz w:val="18"/>
                <w:szCs w:val="18"/>
              </w:rPr>
              <w:drawing>
                <wp:inline distB="114300" distT="114300" distL="114300" distR="114300">
                  <wp:extent cx="1257300" cy="292100"/>
                  <wp:effectExtent b="0" l="0" r="0" t="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257300" cy="292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MTC</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trực tiếp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VL+NC+MTC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CHUNG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NC x định mức tỷ lệ</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C</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THU NHẬP CHỊU THUẾ TÍNH TRƯỚC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(T+C) x tỷ lệ</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TL</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trước thuế</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(T+C+TL)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pBdr>
                <w:left w:color="auto" w:space="0" w:sz="0" w:val="none"/>
                <w:right w:color="auto" w:space="0" w:sz="0" w:val="none"/>
              </w:pBdr>
              <w:spacing w:before="120" w:lineRule="auto"/>
              <w:jc w:val="center"/>
              <w:rPr>
                <w:sz w:val="20"/>
                <w:szCs w:val="20"/>
                <w:vertAlign w:val="sub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IV</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THUẾ GIÁ TRỊ GIA TĂNG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pBdr>
                <w:left w:color="auto" w:space="0" w:sz="0" w:val="none"/>
                <w:right w:color="auto" w:space="0" w:sz="0" w:val="none"/>
              </w:pBdr>
              <w:spacing w:before="120" w:lineRule="auto"/>
              <w:jc w:val="center"/>
              <w:rPr>
                <w:sz w:val="34"/>
                <w:szCs w:val="34"/>
                <w:vertAlign w:val="super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r w:rsidDel="00000000" w:rsidR="00000000" w:rsidRPr="00000000">
              <w:rPr>
                <w:sz w:val="20"/>
                <w:szCs w:val="20"/>
                <w:rtl w:val="0"/>
              </w:rPr>
              <w:t xml:space="preserve"> x T</w:t>
            </w:r>
            <w:r w:rsidDel="00000000" w:rsidR="00000000" w:rsidRPr="00000000">
              <w:rPr>
                <w:sz w:val="34"/>
                <w:szCs w:val="34"/>
                <w:vertAlign w:val="superscript"/>
                <w:rtl w:val="0"/>
              </w:rPr>
              <w:t xml:space="preserve">GTGT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GTGT</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sau thuế</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r w:rsidDel="00000000" w:rsidR="00000000" w:rsidRPr="00000000">
              <w:rPr>
                <w:sz w:val="20"/>
                <w:szCs w:val="20"/>
                <w:rtl w:val="0"/>
              </w:rPr>
              <w:t xml:space="preserve"> + GTGT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TỔNG CỘNG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rPr>
                <w:sz w:val="18"/>
                <w:szCs w:val="18"/>
              </w:rPr>
            </w:pPr>
            <w:r w:rsidDel="00000000" w:rsidR="00000000" w:rsidRPr="00000000">
              <w:rPr>
                <w:rtl w:val="0"/>
              </w:rPr>
            </w:r>
          </w:p>
        </w:tc>
      </w:tr>
    </w:tbl>
    <w:p w:rsidR="00000000" w:rsidDel="00000000" w:rsidP="00000000" w:rsidRDefault="00000000" w:rsidRPr="00000000" w14:paraId="0000005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5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công việc thứ j;</w:t>
      </w:r>
    </w:p>
    <w:p w:rsidR="00000000" w:rsidDel="00000000" w:rsidP="00000000" w:rsidRDefault="00000000" w:rsidRPr="00000000" w14:paraId="0000005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68300" cy="228600"/>
            <wp:effectExtent b="0" l="0" r="0" t="0"/>
            <wp:docPr id="2"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368300" cy="228600"/>
                    </a:xfrm>
                    <a:prstGeom prst="rect"/>
                    <a:ln/>
                  </pic:spPr>
                </pic:pic>
              </a:graphicData>
            </a:graphic>
          </wp:inline>
        </w:drawing>
      </w:r>
      <w:r w:rsidDel="00000000" w:rsidR="00000000" w:rsidRPr="00000000">
        <w:rPr>
          <w:sz w:val="20"/>
          <w:szCs w:val="20"/>
          <w:rtl w:val="0"/>
        </w:rPr>
        <w:t xml:space="preserve">: Đơn giá vật liệu với công việc thứ j.</w:t>
      </w:r>
    </w:p>
    <w:p w:rsidR="00000000" w:rsidDel="00000000" w:rsidP="00000000" w:rsidRDefault="00000000" w:rsidRPr="00000000" w14:paraId="0000005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68300" cy="241300"/>
            <wp:effectExtent b="0" l="0" r="0" t="0"/>
            <wp:docPr id="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68300" cy="241300"/>
                    </a:xfrm>
                    <a:prstGeom prst="rect"/>
                    <a:ln/>
                  </pic:spPr>
                </pic:pic>
              </a:graphicData>
            </a:graphic>
          </wp:inline>
        </w:drawing>
      </w:r>
      <w:r w:rsidDel="00000000" w:rsidR="00000000" w:rsidRPr="00000000">
        <w:rPr>
          <w:sz w:val="20"/>
          <w:szCs w:val="20"/>
          <w:rtl w:val="0"/>
        </w:rPr>
        <w:t xml:space="preserve">: Đơn giá nhân công với công việc thứ j.</w:t>
      </w:r>
    </w:p>
    <w:p w:rsidR="00000000" w:rsidDel="00000000" w:rsidP="00000000" w:rsidRDefault="00000000" w:rsidRPr="00000000" w14:paraId="0000005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431800" cy="215900"/>
            <wp:effectExtent b="0" l="0" r="0" t="0"/>
            <wp:docPr id="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31800" cy="215900"/>
                    </a:xfrm>
                    <a:prstGeom prst="rect"/>
                    <a:ln/>
                  </pic:spPr>
                </pic:pic>
              </a:graphicData>
            </a:graphic>
          </wp:inline>
        </w:drawing>
      </w:r>
      <w:r w:rsidDel="00000000" w:rsidR="00000000" w:rsidRPr="00000000">
        <w:rPr>
          <w:sz w:val="20"/>
          <w:szCs w:val="20"/>
          <w:rtl w:val="0"/>
        </w:rPr>
        <w:t xml:space="preserve">: Đơn giá máy thi công với công việc thứ j.</w:t>
      </w:r>
    </w:p>
    <w:p w:rsidR="00000000" w:rsidDel="00000000" w:rsidP="00000000" w:rsidRDefault="00000000" w:rsidRPr="00000000" w14:paraId="0000005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Định mức tỷ lệ để tính chi phí chung được quy định tại Bảng 5.3 và thu nhập chịu thuế tính trước được quy định tại mục 3 của Phụ lục số 05 ban hành kèm theo Thông tư này.</w:t>
      </w:r>
    </w:p>
    <w:p w:rsidR="00000000" w:rsidDel="00000000" w:rsidP="00000000" w:rsidRDefault="00000000" w:rsidRPr="00000000" w14:paraId="00000059">
      <w:pPr>
        <w:pStyle w:val="Heading1"/>
        <w:keepNext w:val="0"/>
        <w:keepLines w:val="0"/>
        <w:pBdr>
          <w:left w:color="auto" w:space="0" w:sz="0" w:val="none"/>
          <w:right w:color="auto" w:space="0" w:sz="0" w:val="none"/>
        </w:pBdr>
        <w:shd w:fill="ffffff" w:val="clear"/>
        <w:spacing w:after="0" w:before="0" w:lineRule="auto"/>
        <w:rPr>
          <w:b w:val="1"/>
          <w:color w:val="4a4a4a"/>
          <w:sz w:val="20"/>
          <w:szCs w:val="20"/>
        </w:rPr>
      </w:pPr>
      <w:bookmarkStart w:colFirst="0" w:colLast="0" w:name="_oazab9lumbvm" w:id="2"/>
      <w:bookmarkEnd w:id="2"/>
      <w:r w:rsidDel="00000000" w:rsidR="00000000" w:rsidRPr="00000000">
        <w:rPr>
          <w:b w:val="1"/>
          <w:color w:val="4a4a4a"/>
          <w:sz w:val="20"/>
          <w:szCs w:val="20"/>
          <w:rtl w:val="0"/>
        </w:rPr>
        <w:t xml:space="preserve">BẢNG 4.2: TỔNG HỢP DỰ TOÁN CHI PHÍ TÍNH THEO ĐƠN GIÁ ĐẦY ĐỦ</w:t>
      </w:r>
    </w:p>
    <w:p w:rsidR="00000000" w:rsidDel="00000000" w:rsidP="00000000" w:rsidRDefault="00000000" w:rsidRPr="00000000" w14:paraId="0000005A">
      <w:pPr>
        <w:pBdr>
          <w:left w:color="auto" w:space="0" w:sz="0" w:val="none"/>
          <w:right w:color="auto" w:space="0" w:sz="0" w:val="none"/>
        </w:pBdr>
        <w:shd w:fill="ffffff" w:val="clear"/>
        <w:spacing w:before="120" w:lineRule="auto"/>
        <w:jc w:val="right"/>
        <w:rPr>
          <w:i w:val="1"/>
          <w:sz w:val="20"/>
          <w:szCs w:val="20"/>
        </w:rPr>
      </w:pPr>
      <w:r w:rsidDel="00000000" w:rsidR="00000000" w:rsidRPr="00000000">
        <w:rPr>
          <w:i w:val="1"/>
          <w:sz w:val="20"/>
          <w:szCs w:val="20"/>
          <w:rtl w:val="0"/>
        </w:rPr>
        <w:t xml:space="preserve">Đơn vị tính:...</w:t>
      </w:r>
    </w:p>
    <w:tbl>
      <w:tblPr>
        <w:tblStyle w:val="Table2"/>
        <w:tblW w:w="883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05"/>
        <w:gridCol w:w="3240"/>
        <w:gridCol w:w="2565"/>
        <w:gridCol w:w="1185"/>
        <w:gridCol w:w="1140"/>
        <w:tblGridChange w:id="0">
          <w:tblGrid>
            <w:gridCol w:w="705"/>
            <w:gridCol w:w="3240"/>
            <w:gridCol w:w="2565"/>
            <w:gridCol w:w="1185"/>
            <w:gridCol w:w="114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KHOẢN MỤC CHI PHÍ</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CÁCH TÍNH</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GIÁ TRỊ</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KÝ HIỆU</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trước thuế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pBdr>
                <w:left w:color="auto" w:space="0" w:sz="0" w:val="none"/>
                <w:right w:color="auto" w:space="0" w:sz="0" w:val="none"/>
              </w:pBdr>
              <w:spacing w:before="120" w:lineRule="auto"/>
              <w:jc w:val="center"/>
              <w:rPr>
                <w:sz w:val="18"/>
                <w:szCs w:val="18"/>
              </w:rPr>
            </w:pPr>
            <w:r w:rsidDel="00000000" w:rsidR="00000000" w:rsidRPr="00000000">
              <w:rPr>
                <w:sz w:val="18"/>
                <w:szCs w:val="18"/>
              </w:rPr>
              <w:drawing>
                <wp:inline distB="114300" distT="114300" distL="114300" distR="114300">
                  <wp:extent cx="939800" cy="25400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39800" cy="2540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left w:color="auto" w:space="0" w:sz="0" w:val="none"/>
                <w:right w:color="auto" w:space="0" w:sz="0" w:val="none"/>
              </w:pBdr>
              <w:spacing w:before="120" w:lineRule="auto"/>
              <w:jc w:val="center"/>
              <w:rPr>
                <w:sz w:val="20"/>
                <w:szCs w:val="20"/>
                <w:vertAlign w:val="sub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Thuế giá trị gia tăng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r w:rsidDel="00000000" w:rsidR="00000000" w:rsidRPr="00000000">
              <w:rPr>
                <w:sz w:val="20"/>
                <w:szCs w:val="20"/>
                <w:rtl w:val="0"/>
              </w:rPr>
              <w:t xml:space="preserve"> x T</w:t>
            </w:r>
            <w:r w:rsidDel="00000000" w:rsidR="00000000" w:rsidRPr="00000000">
              <w:rPr>
                <w:sz w:val="20"/>
                <w:szCs w:val="20"/>
                <w:vertAlign w:val="superscript"/>
                <w:rtl w:val="0"/>
              </w:rPr>
              <w:t xml:space="preserve">GTGT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GTGT</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sau thuế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r w:rsidDel="00000000" w:rsidR="00000000" w:rsidRPr="00000000">
              <w:rPr>
                <w:sz w:val="20"/>
                <w:szCs w:val="20"/>
                <w:vertAlign w:val="subscript"/>
                <w:rtl w:val="0"/>
              </w:rPr>
              <w:t xml:space="preserve">TT</w:t>
            </w:r>
            <w:r w:rsidDel="00000000" w:rsidR="00000000" w:rsidRPr="00000000">
              <w:rPr>
                <w:sz w:val="20"/>
                <w:szCs w:val="20"/>
                <w:rtl w:val="0"/>
              </w:rPr>
              <w:t xml:space="preserve"> + GTGT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p>
        </w:tc>
      </w:tr>
    </w:tbl>
    <w:p w:rsidR="00000000" w:rsidDel="00000000" w:rsidP="00000000" w:rsidRDefault="00000000" w:rsidRPr="00000000" w14:paraId="0000006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7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i</w:t>
      </w:r>
      <w:r w:rsidDel="00000000" w:rsidR="00000000" w:rsidRPr="00000000">
        <w:rPr>
          <w:sz w:val="20"/>
          <w:szCs w:val="20"/>
          <w:rtl w:val="0"/>
        </w:rPr>
        <w:t xml:space="preserve">: Khối lượng công việc thứ i (i=1÷n) của dự án;</w:t>
      </w:r>
    </w:p>
    <w:p w:rsidR="00000000" w:rsidDel="00000000" w:rsidP="00000000" w:rsidRDefault="00000000" w:rsidRPr="00000000" w14:paraId="0000007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93700" cy="190500"/>
            <wp:effectExtent b="0" l="0" r="0" t="0"/>
            <wp:docPr id="5"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393700" cy="190500"/>
                    </a:xfrm>
                    <a:prstGeom prst="rect"/>
                    <a:ln/>
                  </pic:spPr>
                </pic:pic>
              </a:graphicData>
            </a:graphic>
          </wp:inline>
        </w:drawing>
      </w:r>
      <w:r w:rsidDel="00000000" w:rsidR="00000000" w:rsidRPr="00000000">
        <w:rPr>
          <w:sz w:val="20"/>
          <w:szCs w:val="20"/>
          <w:rtl w:val="0"/>
        </w:rPr>
        <w:t xml:space="preserve">: Đơn giá đầy đủ (bao gồm chi phí trực tiếp về vật liệu, nhân công, máy thi công, chi phí chung và thu nhập chịu thuế tính trước) để thực hiện công việc thứ i của dự án;</w:t>
      </w:r>
    </w:p>
    <w:p w:rsidR="00000000" w:rsidDel="00000000" w:rsidP="00000000" w:rsidRDefault="00000000" w:rsidRPr="00000000" w14:paraId="0000007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TT</w:t>
      </w:r>
      <w:r w:rsidDel="00000000" w:rsidR="00000000" w:rsidRPr="00000000">
        <w:rPr>
          <w:sz w:val="20"/>
          <w:szCs w:val="20"/>
          <w:rtl w:val="0"/>
        </w:rPr>
        <w:t xml:space="preserve">: Chi phí trước thuế;</w:t>
      </w:r>
    </w:p>
    <w:p w:rsidR="00000000" w:rsidDel="00000000" w:rsidP="00000000" w:rsidRDefault="00000000" w:rsidRPr="00000000" w14:paraId="0000007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w:t>
      </w:r>
      <w:r w:rsidDel="00000000" w:rsidR="00000000" w:rsidRPr="00000000">
        <w:rPr>
          <w:sz w:val="20"/>
          <w:szCs w:val="20"/>
          <w:vertAlign w:val="superscript"/>
          <w:rtl w:val="0"/>
        </w:rPr>
        <w:t xml:space="preserve">GTGT</w:t>
      </w:r>
      <w:r w:rsidDel="00000000" w:rsidR="00000000" w:rsidRPr="00000000">
        <w:rPr>
          <w:sz w:val="20"/>
          <w:szCs w:val="20"/>
          <w:rtl w:val="0"/>
        </w:rPr>
        <w:t xml:space="preserve">: Mức thuế suất thuế giá trị gia tăng theo quy định hiện hành</w:t>
      </w:r>
    </w:p>
    <w:p w:rsidR="00000000" w:rsidDel="00000000" w:rsidP="00000000" w:rsidRDefault="00000000" w:rsidRPr="00000000" w14:paraId="0000007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 Chi phí sau thuế.</w:t>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7.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jp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