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PHỤ LỤC II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MẠNG LƯỚI CÁC CÔNG TRÌNH ĐIỀU TRA, ĐÁNH GIÁ TÀI NGUYÊN KHOÁNG SẢN CÁT BIỂN</w:t>
        <w:br w:type="textWrapping"/>
        <w:t xml:space="preserve">(Ban hành kèm theo Thông tư số 32/2024/TT-BTNMT ngày 13 tháng 12 năm 2024 của Bộ trưởng Bộ Tài nguyên và Môi trường)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1620"/>
        <w:gridCol w:w="1035"/>
        <w:gridCol w:w="1200"/>
        <w:gridCol w:w="1275"/>
        <w:gridCol w:w="1110"/>
        <w:gridCol w:w="1635"/>
        <w:tblGridChange w:id="0">
          <w:tblGrid>
            <w:gridCol w:w="1005"/>
            <w:gridCol w:w="1620"/>
            <w:gridCol w:w="1035"/>
            <w:gridCol w:w="1200"/>
            <w:gridCol w:w="1275"/>
            <w:gridCol w:w="1110"/>
            <w:gridCol w:w="163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Mức độ phức tạp địa chất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Dạng công trình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Khoảng cách đối với các tài nguyên cấp (m)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Cấp 222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Cấp 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Cấp 334a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255.27272727272725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Giữa các tuyến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Giữa các công trình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Giữa các tuyến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Giữa các công trình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Giữa các công trình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Lỗ khoan, ống phóng rung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400 - 800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200 - 400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800 - 1600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400 - 800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Không quá 3000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Lỗ khoan, ống phóng rung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200 - 400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100 - 200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400 - 800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200 - 400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Không quá 2000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Lỗ khoan, ống phóng rung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100 - 200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50 - 100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200 - 400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100 - 200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auto" w:space="0" w:sz="0" w:val="none"/>
                <w:right w:color="auto" w:space="0" w:sz="0" w:val="none"/>
              </w:pBdr>
              <w:shd w:fill="ffffff" w:val="clear"/>
              <w:spacing w:after="120" w:before="120" w:line="311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Không quá 1000</w:t>
            </w:r>
          </w:p>
        </w:tc>
      </w:tr>
    </w:tbl>
    <w:p w:rsidR="00000000" w:rsidDel="00000000" w:rsidP="00000000" w:rsidRDefault="00000000" w:rsidRPr="00000000" w14:paraId="0000002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