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20" w:type="dxa"/>
        <w:jc w:val="center"/>
        <w:tblCellMar>
          <w:left w:w="0" w:type="dxa"/>
          <w:right w:w="0" w:type="dxa"/>
        </w:tblCellMar>
        <w:tblLook w:val="04A0" w:firstRow="1" w:lastRow="0" w:firstColumn="1" w:lastColumn="0" w:noHBand="0" w:noVBand="1"/>
      </w:tblPr>
      <w:tblGrid>
        <w:gridCol w:w="4114"/>
        <w:gridCol w:w="8006"/>
      </w:tblGrid>
      <w:tr w:rsidR="006216AB" w:rsidRPr="006216AB" w14:paraId="6D6FC67E" w14:textId="77777777" w:rsidTr="006216AB">
        <w:trPr>
          <w:trHeight w:val="915"/>
          <w:jc w:val="center"/>
        </w:trPr>
        <w:tc>
          <w:tcPr>
            <w:tcW w:w="3060" w:type="dxa"/>
            <w:shd w:val="clear" w:color="auto" w:fill="FFFFFF"/>
            <w:tcMar>
              <w:top w:w="0" w:type="dxa"/>
              <w:left w:w="108" w:type="dxa"/>
              <w:bottom w:w="0" w:type="dxa"/>
              <w:right w:w="108" w:type="dxa"/>
            </w:tcMar>
            <w:hideMark/>
          </w:tcPr>
          <w:p w14:paraId="1D2851F4"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ascii="Arial" w:eastAsia="Times New Roman" w:hAnsi="Arial" w:cs="Arial"/>
                <w:b/>
                <w:bCs/>
                <w:sz w:val="20"/>
                <w:szCs w:val="20"/>
                <w:shd w:val="clear" w:color="auto" w:fill="FFFFFF"/>
              </w:rPr>
              <w:t>CHÍNH PHỦ</w:t>
            </w:r>
            <w:r w:rsidRPr="006216AB">
              <w:rPr>
                <w:rFonts w:eastAsia="Times New Roman" w:cs="Times New Roman"/>
                <w:color w:val="222222"/>
                <w:szCs w:val="26"/>
              </w:rPr>
              <w:br/>
            </w:r>
            <w:r w:rsidRPr="006216AB">
              <w:rPr>
                <w:rFonts w:ascii="Arial" w:eastAsia="Times New Roman" w:hAnsi="Arial" w:cs="Arial"/>
                <w:sz w:val="20"/>
                <w:szCs w:val="20"/>
                <w:shd w:val="clear" w:color="auto" w:fill="FFFFFF"/>
                <w:vertAlign w:val="superscript"/>
              </w:rPr>
              <w:t>________</w:t>
            </w:r>
          </w:p>
          <w:p w14:paraId="2EDCBEE8"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ascii="Arial" w:eastAsia="Times New Roman" w:hAnsi="Arial" w:cs="Arial"/>
                <w:sz w:val="20"/>
                <w:szCs w:val="20"/>
                <w:shd w:val="clear" w:color="auto" w:fill="FFFFFF"/>
              </w:rPr>
              <w:t>Số: 104/2022/NĐ-CP</w:t>
            </w:r>
          </w:p>
        </w:tc>
        <w:tc>
          <w:tcPr>
            <w:tcW w:w="5955" w:type="dxa"/>
            <w:shd w:val="clear" w:color="auto" w:fill="FFFFFF"/>
            <w:tcMar>
              <w:top w:w="0" w:type="dxa"/>
              <w:left w:w="108" w:type="dxa"/>
              <w:bottom w:w="0" w:type="dxa"/>
              <w:right w:w="108" w:type="dxa"/>
            </w:tcMar>
            <w:hideMark/>
          </w:tcPr>
          <w:p w14:paraId="659485C6"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ascii="Arial" w:eastAsia="Times New Roman" w:hAnsi="Arial" w:cs="Arial"/>
                <w:b/>
                <w:bCs/>
                <w:sz w:val="20"/>
                <w:szCs w:val="20"/>
                <w:shd w:val="clear" w:color="auto" w:fill="FFFFFF"/>
              </w:rPr>
              <w:t>CỘNG HÒA XÃ HỘI CHỦ NGHĨA VIỆT NAM</w:t>
            </w:r>
            <w:r w:rsidRPr="006216AB">
              <w:rPr>
                <w:rFonts w:ascii="Arial" w:eastAsia="Times New Roman" w:hAnsi="Arial" w:cs="Arial"/>
                <w:b/>
                <w:bCs/>
                <w:szCs w:val="26"/>
                <w:shd w:val="clear" w:color="auto" w:fill="FFFFFF"/>
              </w:rPr>
              <w:br/>
            </w:r>
            <w:r w:rsidRPr="006216AB">
              <w:rPr>
                <w:rFonts w:ascii="Arial" w:eastAsia="Times New Roman" w:hAnsi="Arial" w:cs="Arial"/>
                <w:b/>
                <w:bCs/>
                <w:sz w:val="20"/>
                <w:szCs w:val="20"/>
                <w:shd w:val="clear" w:color="auto" w:fill="FFFFFF"/>
              </w:rPr>
              <w:t>Độc lập - Tự do - Hạnh phúc</w:t>
            </w:r>
            <w:r w:rsidRPr="006216AB">
              <w:rPr>
                <w:rFonts w:eastAsia="Times New Roman" w:cs="Times New Roman"/>
                <w:color w:val="222222"/>
                <w:szCs w:val="26"/>
              </w:rPr>
              <w:br/>
            </w:r>
            <w:r w:rsidRPr="006216AB">
              <w:rPr>
                <w:rFonts w:ascii="Arial" w:eastAsia="Times New Roman" w:hAnsi="Arial" w:cs="Arial"/>
                <w:sz w:val="20"/>
                <w:szCs w:val="20"/>
                <w:shd w:val="clear" w:color="auto" w:fill="FFFFFF"/>
                <w:vertAlign w:val="superscript"/>
              </w:rPr>
              <w:t>_______________________</w:t>
            </w:r>
          </w:p>
          <w:p w14:paraId="0DDCDF50"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ascii="Arial" w:eastAsia="Times New Roman" w:hAnsi="Arial" w:cs="Arial"/>
                <w:i/>
                <w:iCs/>
                <w:sz w:val="20"/>
                <w:szCs w:val="20"/>
                <w:shd w:val="clear" w:color="auto" w:fill="FFFFFF"/>
              </w:rPr>
              <w:t>Hà Nội, ngày 21 tháng 12 năm 2022</w:t>
            </w:r>
          </w:p>
        </w:tc>
      </w:tr>
    </w:tbl>
    <w:p w14:paraId="741EC615" w14:textId="77777777" w:rsidR="006216AB" w:rsidRPr="006216AB" w:rsidRDefault="006216AB" w:rsidP="006216AB">
      <w:pPr>
        <w:spacing w:after="0" w:line="240" w:lineRule="auto"/>
        <w:rPr>
          <w:rFonts w:ascii="Arial" w:eastAsia="Times New Roman" w:hAnsi="Arial" w:cs="Arial"/>
          <w:color w:val="2E2E2E"/>
          <w:szCs w:val="26"/>
        </w:rPr>
      </w:pPr>
      <w:r w:rsidRPr="006216AB">
        <w:rPr>
          <w:rFonts w:ascii="Arial" w:eastAsia="Times New Roman" w:hAnsi="Arial" w:cs="Arial"/>
          <w:color w:val="2E2E2E"/>
          <w:szCs w:val="26"/>
        </w:rPr>
        <w:t> </w:t>
      </w:r>
    </w:p>
    <w:p w14:paraId="5BA20CA3" w14:textId="77777777" w:rsidR="006216AB" w:rsidRPr="006216AB" w:rsidRDefault="006216AB" w:rsidP="006216AB">
      <w:pPr>
        <w:spacing w:before="180" w:after="0" w:line="240" w:lineRule="auto"/>
        <w:jc w:val="center"/>
        <w:rPr>
          <w:rFonts w:ascii="Arial" w:eastAsia="Times New Roman" w:hAnsi="Arial" w:cs="Arial"/>
          <w:color w:val="222222"/>
          <w:szCs w:val="26"/>
        </w:rPr>
      </w:pPr>
      <w:r w:rsidRPr="006216AB">
        <w:rPr>
          <w:rFonts w:ascii="Arial" w:eastAsia="Times New Roman" w:hAnsi="Arial" w:cs="Arial"/>
          <w:color w:val="222222"/>
          <w:szCs w:val="26"/>
        </w:rPr>
        <w:t> </w:t>
      </w:r>
    </w:p>
    <w:p w14:paraId="72CBB08A" w14:textId="77777777" w:rsidR="006216AB" w:rsidRPr="006216AB" w:rsidRDefault="006216AB" w:rsidP="006216AB">
      <w:pPr>
        <w:spacing w:before="180" w:after="0" w:line="240" w:lineRule="auto"/>
        <w:jc w:val="center"/>
        <w:rPr>
          <w:rFonts w:ascii="Arial" w:eastAsia="Times New Roman" w:hAnsi="Arial" w:cs="Arial"/>
          <w:color w:val="222222"/>
          <w:szCs w:val="26"/>
        </w:rPr>
      </w:pPr>
      <w:r w:rsidRPr="006216AB">
        <w:rPr>
          <w:rFonts w:ascii="Arial" w:eastAsia="Times New Roman" w:hAnsi="Arial" w:cs="Arial"/>
          <w:color w:val="222222"/>
          <w:szCs w:val="26"/>
        </w:rPr>
        <w:t> </w:t>
      </w:r>
    </w:p>
    <w:p w14:paraId="0B408A7C" w14:textId="77777777" w:rsidR="006216AB" w:rsidRPr="006216AB" w:rsidRDefault="006216AB" w:rsidP="006216AB">
      <w:pPr>
        <w:spacing w:before="180" w:after="0" w:line="240" w:lineRule="auto"/>
        <w:jc w:val="center"/>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NGHỊ ĐỊNH</w:t>
      </w:r>
    </w:p>
    <w:p w14:paraId="460D5D56" w14:textId="77777777" w:rsidR="006216AB" w:rsidRPr="006216AB" w:rsidRDefault="006216AB" w:rsidP="006216AB">
      <w:pPr>
        <w:spacing w:before="180" w:after="0" w:line="240" w:lineRule="auto"/>
        <w:jc w:val="center"/>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Sửa đổi, bổ sung một số điều của các nghị định liên quan đến việc nộp, xuất trình sổ hộ khẩu, sổ tạm trú giấy khi thực hiện thủ tục hành chính, cung cấp dịch vụ công</w:t>
      </w:r>
    </w:p>
    <w:p w14:paraId="09C27F1E" w14:textId="77777777" w:rsidR="006216AB" w:rsidRPr="006216AB" w:rsidRDefault="006216AB" w:rsidP="006216AB">
      <w:pPr>
        <w:spacing w:before="180" w:after="0" w:line="240" w:lineRule="auto"/>
        <w:jc w:val="center"/>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vertAlign w:val="superscript"/>
        </w:rPr>
        <w:t>______________</w:t>
      </w:r>
    </w:p>
    <w:p w14:paraId="05935155" w14:textId="77777777" w:rsidR="006216AB" w:rsidRPr="006216AB" w:rsidRDefault="006216AB" w:rsidP="006216AB">
      <w:pPr>
        <w:spacing w:before="180" w:after="0" w:line="240" w:lineRule="auto"/>
        <w:jc w:val="center"/>
        <w:rPr>
          <w:rFonts w:ascii="Arial" w:eastAsia="Times New Roman" w:hAnsi="Arial" w:cs="Arial"/>
          <w:color w:val="222222"/>
          <w:szCs w:val="26"/>
        </w:rPr>
      </w:pPr>
      <w:r w:rsidRPr="006216AB">
        <w:rPr>
          <w:rFonts w:ascii="Arial" w:eastAsia="Times New Roman" w:hAnsi="Arial" w:cs="Arial"/>
          <w:color w:val="222222"/>
          <w:szCs w:val="26"/>
        </w:rPr>
        <w:t> </w:t>
      </w:r>
    </w:p>
    <w:p w14:paraId="7FA3DC8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i/>
          <w:iCs/>
          <w:color w:val="222222"/>
          <w:sz w:val="20"/>
          <w:szCs w:val="20"/>
          <w:shd w:val="clear" w:color="auto" w:fill="FFFFFF"/>
        </w:rPr>
        <w:t>Căn cứ Luật Tổ chức Chính phủ ngày 19 tháng 6 năm 2015; Luật sửa đổi, bổ sung một số điều của Luật Tổ chức Chính phủ và Luật Tổ chức chính quyền địa phương ngày 22 tháng 11 năm 2019;</w:t>
      </w:r>
    </w:p>
    <w:p w14:paraId="4C501F2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i/>
          <w:iCs/>
          <w:color w:val="222222"/>
          <w:sz w:val="20"/>
          <w:szCs w:val="20"/>
          <w:shd w:val="clear" w:color="auto" w:fill="FFFFFF"/>
        </w:rPr>
        <w:t>Căn cứ Luật Cư trú ngày 13 tháng 11 năm 2020;</w:t>
      </w:r>
    </w:p>
    <w:p w14:paraId="38C7FB9A"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i/>
          <w:iCs/>
          <w:color w:val="222222"/>
          <w:sz w:val="20"/>
          <w:szCs w:val="20"/>
          <w:shd w:val="clear" w:color="auto" w:fill="FFFFFF"/>
        </w:rPr>
        <w:t>Theo đề nghị của Bộ trưởng Bộ Công an;</w:t>
      </w:r>
    </w:p>
    <w:p w14:paraId="6B0C1404" w14:textId="77777777" w:rsidR="006216AB" w:rsidRPr="006216AB" w:rsidRDefault="006216AB" w:rsidP="006216AB">
      <w:pPr>
        <w:spacing w:before="180" w:after="0" w:line="240" w:lineRule="auto"/>
        <w:ind w:firstLine="720"/>
        <w:jc w:val="both"/>
        <w:rPr>
          <w:rFonts w:ascii="Arial" w:eastAsia="Times New Roman" w:hAnsi="Arial" w:cs="Arial"/>
          <w:color w:val="222222"/>
          <w:szCs w:val="26"/>
        </w:rPr>
      </w:pPr>
      <w:r w:rsidRPr="006216AB">
        <w:rPr>
          <w:rFonts w:ascii="Arial" w:eastAsia="Times New Roman" w:hAnsi="Arial" w:cs="Arial"/>
          <w:i/>
          <w:iCs/>
          <w:color w:val="222222"/>
          <w:sz w:val="20"/>
          <w:szCs w:val="20"/>
          <w:shd w:val="clear" w:color="auto" w:fill="FFFFFF"/>
        </w:rPr>
        <w:t>Chính phủ ban hành Nghị định sửa đổi, bổ sung một số điều của các nghị định liên quan đến việc nộp, xuất trình sổ hộ khẩu, sổ tạm trú giấy khi thực hiện thủ tục hành chính, cung cấp dịch vụ công.</w:t>
      </w:r>
    </w:p>
    <w:p w14:paraId="4968CBD2" w14:textId="77777777" w:rsidR="006216AB" w:rsidRPr="006216AB" w:rsidRDefault="006216AB" w:rsidP="006216AB">
      <w:pPr>
        <w:spacing w:before="180" w:after="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Cs w:val="26"/>
        </w:rPr>
        <w:t> </w:t>
      </w:r>
    </w:p>
    <w:p w14:paraId="5460268F"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1. Sửa đổi, bổ sung một số nội dung tại Nghị định số 61/2015/NĐ-CP ngày 09 tháng 7 năm 2015 quy định về chính sách hỗ trợ tạo việc làm và Quỹ quốc gia về việc làm đã được sửa đổi, bổ sung theo Nghị định số 74/2019/NĐ-CP ngày 23 tháng 9 năm 2019</w:t>
      </w:r>
    </w:p>
    <w:p w14:paraId="07B40BAD"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Sửa đổi, bổ sung điểm a khoản 2 Điều 28 như sau:</w:t>
      </w:r>
    </w:p>
    <w:p w14:paraId="2130A984"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“a) Đối với người lao động: Giấy đề nghị vay vốn có xác nhận của Ủy ban nhân dân cấp xã về nơi thực hiện dự án theo Mẫu số 1 ban hành kèm theo Nghị định này;”.</w:t>
      </w:r>
    </w:p>
    <w:p w14:paraId="62E3F33C"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Thay thế một số cụm từ tại điểm b khoản 2 Điều 28 như sau:</w:t>
      </w:r>
    </w:p>
    <w:p w14:paraId="5DF72D2C"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Thay thế cụm từ “bản sao Chứng minh nhân dân hoặc sổ hộ khẩu hoặc sổ tạm trú” và cụm từ “bản sao Chứng minh nhân dân hoặc hộ chiếu hoặc sổ hộ khẩu hoặc sổ tạm trú” bằng cụm từ “bản sao Chứng minh nhân dân hoặc thẻ Căn cước công dân hoặc giấy khai sinh”.</w:t>
      </w:r>
    </w:p>
    <w:p w14:paraId="6E8CCBCC"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3. Thay thế Mẫu số 1a ban hành kèm theo Nghị định số 74/2019/NĐ-CP ngày 23 tháng 9 năm 2019 bằng Mẫu số 1 ban hành kèm theo Nghị định này.</w:t>
      </w:r>
    </w:p>
    <w:p w14:paraId="2A7330A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Bãi bỏ Mẫu số 1b ban hành kèm theo Nghị định số 74/2019/NĐ-CP ngày 23 tháng 9 năm 2019.</w:t>
      </w:r>
    </w:p>
    <w:p w14:paraId="201DF433"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2. Sửa đổi, bổ sung một số điều và biểu mẫu của Nghị định số 146/2018/NĐ-CP ngày 17 tháng 10 năm 2018 quy định chi tiết và hướng dẫn biện pháp thi hành một số điều của Luật Bảo hiểm y tế</w:t>
      </w:r>
    </w:p>
    <w:p w14:paraId="382DFC3B"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Sửa đổi, bổ sung khoản 1 Điều 5 như sau:</w:t>
      </w:r>
    </w:p>
    <w:p w14:paraId="573223A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lastRenderedPageBreak/>
        <w:t>“1. Người có tên trong cùng một hộ gia đình đăng ký thường trú, trừ những người thuộc đối tượng quy định tại các điều 1, 2, 3, 4 và 6 Nghị định này.”.</w:t>
      </w:r>
    </w:p>
    <w:p w14:paraId="398E645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Sửa đổi, bổ sung khoản 2 Điều 5 như sau:</w:t>
      </w:r>
    </w:p>
    <w:p w14:paraId="26ABE03B"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Những người có tên trong cùng một hộ gia đình đăng ký tạm trú, trừ đối tượng quy định tại các điều 1, 2, 3, 4 và 6 Nghị định này và đối tượng đã tham gia bảo hiểm y tế theo quy định tại khoản 1 Điều này.”.</w:t>
      </w:r>
    </w:p>
    <w:p w14:paraId="2AC5F89F"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3. Bãi bỏ cụm từ “Số sổ hộ khẩu (hoặc sổ tạm trú)” tại Mẫu số 3 ban hành kèm theo Nghị định số 146/2018/NĐ-CP ngày 17 tháng 10 năm 2018 quy định chi tiết và hướng dẫn biện pháp thi hành một số điều của Luật Bảo hiểm y tế.</w:t>
      </w:r>
    </w:p>
    <w:p w14:paraId="07DFC6A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4. Sửa đổi, bổ sung nội dung tại mục 4, phần hướng dẫn của Mẫu số 4 ban hành kèm theo Nghị định số 146/2018/NĐ-CP ngày 17 tháng 10 năm 2018 quy định chi tiết và hướng dẫn biện pháp thi hành một số điều của Luật Bảo hiểm y tế như sau:</w:t>
      </w:r>
    </w:p>
    <w:p w14:paraId="2ED4B4CF"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“4. Cá nhân đăng ký nhận kết quả trực tiếp tại cơ quan bảo hiểm xã hội, khi đến nhận kết quả là tiền giải quyết chế độ bảo hiểm y tế, viên chức bộ phận tiếp nhận hồ sơ và trả kết quả hướng dẫn cá nhân như sau:</w:t>
      </w:r>
    </w:p>
    <w:p w14:paraId="31292F42"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a) Người hưởng chế độ trực tiếp nhận: Cung cấp giấy hẹn và thẻ Căn cước công dân hoặc Chứng minh nhân dân.</w:t>
      </w:r>
    </w:p>
    <w:p w14:paraId="1406CA73"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Người khác nhận thay:</w:t>
      </w:r>
    </w:p>
    <w:p w14:paraId="63915E9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Nếu là thân nhân của người hưởng chế độ: Cung cấp giấy hẹn, Chứng minh nhân dân hoặc thẻ Căn cước công dân và một trong các giấy tờ chứng minh là thân nhân của người hưởng bảo hiểm y tế sau: bản sao giấy khai sinh hoặc giấy chứng sinh hoặc Giấy chứng nhận kết hôn hoặc Giấy xác nhận thông tin về cư trú hoặc Giấy thông báo số định danh cá nhân và thông tin công dân trong Cơ sở dữ liệu quốc gia về dân cư.</w:t>
      </w:r>
    </w:p>
    <w:p w14:paraId="5AE6A544"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Nếu là người giám hộ: Cung cấp giấy hẹn, Chứng minh nhân dân hoặc thẻ Căn cước công dân, giấy tờ chứng minh là giám hộ đương nhiên của người hưởng bảo hiểm y tế (bản sao giấy khai sinh hoặc giấy chứng sinh hoặc Giấy chứng nhận kết hôn hoặc Giấy xác nhận thông tin về cư trú hoặc Giấy thông báo số định danh cá nhân và thông tin công dân trong Cơ sở dữ liệu quốc gia về dân cư). Trong trường hợp không có người giám hộ đương nhiên theo quy định của pháp luật thì cung cấp giấy hẹn, Chứng minh nhân dân hoặc thẻ Căn cước công dân, quyết định công nhận việc giám hộ của cấp có thẩm quyền.</w:t>
      </w:r>
    </w:p>
    <w:p w14:paraId="5D5EF672"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Nếu không phải là thân nhân hoặc người giám hộ nêu trên, cung cấp giấy hẹn, Chứng minh nhân dân hoặc thẻ Căn cước công dân, giấy ủy quyền theo quy định của pháp luật hiện hành.”.</w:t>
      </w:r>
    </w:p>
    <w:p w14:paraId="1F215DF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3. Sửa đổi, bổ sung điểm b khoản 1, điểm b khoản 2, điểm b khoản 3 Điều 6 Nghị định số 116/2016/NĐ-CP ngày 18 tháng 7 năm 2016 quy định chính sách hỗ trợ học sinh và trường phổ thông ở xã, thôn đặc biệt khó khăn</w:t>
      </w:r>
    </w:p>
    <w:p w14:paraId="5E1E8B72"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Sửa đổi điểm b khoản 1 Điều 6 như sau:</w:t>
      </w:r>
    </w:p>
    <w:p w14:paraId="54D86F8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14:paraId="0E3B631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Sửa đổi điểm b khoản 2 Điều 6 như sau:</w:t>
      </w:r>
    </w:p>
    <w:p w14:paraId="1755230E"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thế khai thác được thông tin cư trú của công dân trong Cơ sở dữ liệu quốc gia về dân cư.”.</w:t>
      </w:r>
    </w:p>
    <w:p w14:paraId="382E7E51"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lastRenderedPageBreak/>
        <w:t>3. Sửa đổi điểm b khoản 3 Điều 6 như sau:</w:t>
      </w:r>
    </w:p>
    <w:p w14:paraId="6AB0C609"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14:paraId="1AAA3498"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4. Sửa đổi, bổ sung một số điều của Nghị định số 105/2020/NĐ-CP ngày 08 tháng 9 năm 2020 quy định về chính sách phát triển giáo dục mầm non</w:t>
      </w:r>
    </w:p>
    <w:p w14:paraId="0EB05F39"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Sửa đổi, bổ sung điểm a khoản 3 Điều 7 như sau:</w:t>
      </w:r>
    </w:p>
    <w:p w14:paraId="1F41C36F"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“a) Cha mẹ hoặc người chăm sóc, nuôi dưỡng trẻ em thuộc đối tượng quy định tại điểm a khoản 1 Điều này cung cấp thông tin về số định danh cá nhân của trẻ em hoặc của cha hoặc mẹ hoặc người chăm sóc, nuôi dưỡng trẻ em;</w:t>
      </w:r>
    </w:p>
    <w:p w14:paraId="38F335DE"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14:paraId="6566567E"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Sửa đổi, bổ sung điểm b khoản 3 Điều 8 như sau:</w:t>
      </w:r>
    </w:p>
    <w:p w14:paraId="22111F9A"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Giấy khai sinh (Bản sao kèm theo bản chính để đối chiếu hoặc bản sao có chứng thực).”.</w:t>
      </w:r>
    </w:p>
    <w:p w14:paraId="05F62C2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5. Sửa đổi, bổ sung khoản 1 Điều 19 Nghị định số 81/2021/NĐ-CP ngày 27 tháng 8 năm 2021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500828B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Thay thế cụm từ “sổ hộ khẩu thường trú hoặc giấy tờ xác nhận của cơ quan Công an về việc đăng ký thường trú (trường hợp sổ hộ khẩu bị thất lạc)” tại điểm b khoản 1 thành “thẻ Căn cước công dân hoặc Chứng minh nhân dân, Giấy xác nhận thông tin về cư trú hoặc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14:paraId="640E9A78"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Sửa đổi, bổ sung điểm đ khoản 1 Điều 19 như sau:</w:t>
      </w:r>
    </w:p>
    <w:p w14:paraId="1F48CAF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“đ) Trường hợp học sinh, sinh viên có thẻ Căn cước công dân và được cấp mã số định danh cá nhân, thông tin về nơi thường trú có thể khai thác từ việc kết nối và chia sẻ dữ liệu về dân cư với các cơ sở giáo dục đào tạo, Phòng Giáo dục và Đào tạo, Sở Giáo dục và Đào tạo, Phòng Lao động - Thương binh và Xã hội, Phòng Tài chính, Sở Tài chính, thì cha mẹ (hoặc người giám hộ) trẻ em, học sinh, sinh viên không phải nộp Giấy khai sinh và giấy tờ chứng minh nơi thường trú.”.</w:t>
      </w:r>
    </w:p>
    <w:p w14:paraId="469ED8EB"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6. Sửa đổi, bổ sung điểm b khoản 2 Điều 7 Nghị định số 168/2016/NĐ-CP ngày 27 tháng 12 năm 2016 quy định về khoán rừng, vườn cây và diện tích mặt nước trong các Ban quản lý rừng đặc dụng, rừng phòng hộ và Công ty trách nhiệm hữu hạn một thành viên nông, lâm nghiệp Nhà nước</w:t>
      </w:r>
    </w:p>
    <w:p w14:paraId="56F486E3"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Sửa đổi, bổ sung điểm b khoản 2 Điều 7 như sau:</w:t>
      </w:r>
    </w:p>
    <w:p w14:paraId="7DE7924B"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Hồ sơ nhận khoán</w:t>
      </w:r>
    </w:p>
    <w:p w14:paraId="37E453AA"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Đề nghị nhận khoán: Đối với cá nhân, hộ gia đình theo Mẫu số 02; cộng đồng dân cư thôn theo Mẫu số 03.</w:t>
      </w:r>
    </w:p>
    <w:p w14:paraId="4D6A638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Biên bản họp thôn (đối với cộng đồng dân cư thôn): Gồm nội dung thống nhất đề nghị nhận khoán; cử người đại diện giao kết hợp đồng.</w:t>
      </w:r>
    </w:p>
    <w:p w14:paraId="0578B91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lastRenderedPageBreak/>
        <w:t>Giấy chứng nhận hộ nghèo, hộ cận nghèo. Đối với cộng đồng dân cư thôn gồm danh sách các thành viên và thông tin về số định danh cá nhân của các thành viên trong danh sách.”.</w:t>
      </w:r>
    </w:p>
    <w:p w14:paraId="03615DAF"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7. Sửa đổi, bổ sung khoản 1 Điều 3 của Nghị định số 100/2015/NĐ-CP ngày 20 tháng 10 năm 2015 về phát triển và quản lý nhà ở xã hội</w:t>
      </w:r>
    </w:p>
    <w:p w14:paraId="4953AA23"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Sửa đổi, bổ sung khoản 1 Điều 3 như sau:</w:t>
      </w:r>
    </w:p>
    <w:p w14:paraId="29B2D6F6"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Hộ gia đình, cá nhân là người có tên trong cùng một hộ gia đình đăng ký thường trú đã được cập nhật thông tin trong Cơ sở dữ liệu quốc gia về dân cư, Cơ sở dữ liệu về cư trú theo quy định của Luật Cư trú.”.</w:t>
      </w:r>
    </w:p>
    <w:p w14:paraId="4CED517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8. Sửa đổi, bổ sung Điều 11 Nghị định số 137/2013/NĐ-CP ngày 21 tháng 10 năm 2013 quy định chi tiết thi hành một số điều của Luật Điện lực và Luật sửa đổi, bổ sung một số điều của Luật Điện lực</w:t>
      </w:r>
    </w:p>
    <w:p w14:paraId="475B219D"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Sửa đổi, bổ sung điểm a khoản 1 Điều 11 như sau:</w:t>
      </w:r>
    </w:p>
    <w:p w14:paraId="0E2566A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“a) Bên mua điện phải có đủ năng lực hành vi dân sự theo quy định của pháp luật, có đề nghị mua điện và thông tin về cư trú của hộ gia đình tại địa điểm mua điện hoặc giấy tờ chứng minh quyền sở hữu, quản lý, sử dụng địa điểm mua điện;”.</w:t>
      </w:r>
    </w:p>
    <w:p w14:paraId="4BDF7CEA"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Bổ sung khoản 1a sau khoản 1 Điều 11 như sau:</w:t>
      </w:r>
    </w:p>
    <w:p w14:paraId="57C806F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“1a. Hồ sơ đề nghị đăng ký mua điện phục vụ mục đích sinh hoạt của bên mua điện dạng giấy hoặc dữ liệu điện tử bao gồm: Đề nghị mua điện và một trong các giấy tờ, tài liệu sau:</w:t>
      </w:r>
    </w:p>
    <w:p w14:paraId="2FBFB8B3"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a) Thẻ Căn cước công dân, Chứng minh nhân dân, Giấy xác nhận thông tin về cư trú, Giấy thông báo số định danh cá nhân và thông tin công dân trong Cơ sở dữ liệu quốc gia về dân cư của cá nhân đại diện bên mua điện. Tại một địa điểm đăng ký mua điện, bên mua điện là một hộ gia đình thì chỉ được ký 01 Hợp đồng.</w:t>
      </w:r>
    </w:p>
    <w:p w14:paraId="691D80BE"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Trường hợp không sử dụng thông tin về cư trú của hộ gia đình tại địa điểm mua điện, bên mua điện cung cấp bản sao của một trong các giấy tờ sau: Giấy chứng nhận về quyền sở hữu nhà ở; giấy chứng nhận về quyền sử dụng đất (trên đất đã có nhà ở); quyết định phân nhà; hợp đồng mua bán nhà; hợp đồng thuê nhà có thời hạn từ 01 năm trở lên hoặc các giấy tờ khác chứng minh quyền sở hữu, quản lý, sử dụng địa điểm mua điện có thời hạn từ 01 năm trở lên để đăng ký mua điện và chỉ được ký 01 Hợp đồng.”.</w:t>
      </w:r>
    </w:p>
    <w:p w14:paraId="2BE0F16F"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3. Sửa đổi, bổ sung khoản 4 Điều 11 như sau:</w:t>
      </w:r>
    </w:p>
    <w:p w14:paraId="6F9B0531"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“4. Bộ Công Thương hướng dẫn về hợp đồng mua bán điện phục vụ mục đích sinh hoạt.”.</w:t>
      </w:r>
    </w:p>
    <w:p w14:paraId="292308C9"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9. Sửa đổi, bổ sung một số điều của Nghị định số 99/2015/NĐ-CP ngày 20 tháng 10 năm 2015 quy định chi tiết và hướng dẫn thi hành một số điều của Luật Nhà ở đã được sửa đổi, bổ sung theo Nghị định số 30/2021/NĐ-CP ngày 26 tháng 3 năm 2021</w:t>
      </w:r>
    </w:p>
    <w:p w14:paraId="4014D4B8"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Sửa đổi, bổ sung điểm c khoản 1 Điều 60 như sau:</w:t>
      </w:r>
    </w:p>
    <w:p w14:paraId="7A317E8B"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“c) Bản sao thẻ Căn cước công dân hoặc Chứng minh nhân dân hoặc hộ chiếu đang còn giá trị hoặc Thẻ quân nhân của người có đơn đề nghị thuê nhà ở; trường hợp là vợ chồng thì phải có thêm bản sao Giấy chứng nhận kết hôn.”.</w:t>
      </w:r>
    </w:p>
    <w:p w14:paraId="57D08352"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Sửa đổi, bổ sung điểm b khoản 1 Điều 69 như sau:</w:t>
      </w:r>
    </w:p>
    <w:p w14:paraId="754ABF1F"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Bản sao thẻ Căn cước công dân hoặc Chứng minh nhân dân hoặc hộ chiếu đang còn giá trị hoặc Thẻ quân nhân của người đề nghị mua nhà ở; trường hợp là vợ chồng thì phải có thêm bản sao Giấy chứng nhận kết hôn.”.</w:t>
      </w:r>
    </w:p>
    <w:p w14:paraId="4F92FC66"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3. Sửa đổi điểm b khoản 1 Điều 71a như sau:</w:t>
      </w:r>
    </w:p>
    <w:p w14:paraId="54E9C3DF"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lastRenderedPageBreak/>
        <w:t>“b) Chứng minh nhân dân hoặc thẻ Căn cước công dân hoặc hộ chiếu đang còn giá trị hoặc giấy tờ chứng minh thuộc lực lượng quân đội nhân dân theo quy định của Bộ Quốc phòng của người đề nghị mua nhà ở; trường hợp là vợ chồng thì phải có thêm bản sao Giấy chứng nhận kết hôn.”.</w:t>
      </w:r>
    </w:p>
    <w:p w14:paraId="270C34A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10. Sửa đổi, bổ sung một số điều của Nghị định số 134/2016/NĐ-CP ngày 01 tháng 9 năm 2016 quy định chi tiết một số điều và biện pháp thi hành Luật Thuế xuất khẩu, thuế nhập khẩu</w:t>
      </w:r>
    </w:p>
    <w:p w14:paraId="1A4CC110"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Sửa đổi, bổ sung điểm đ khoản 3 Điều 7 như sau:</w:t>
      </w:r>
    </w:p>
    <w:p w14:paraId="0D9746DA"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“đ) Bản sao của một trong các giấy tờ sau: Thẻ Căn cước công dân, Chứng minh nhân dân, Giấy xác nhận thông tin về cư trú, Giấy thông báo số định danh cá nhân và thông tin công dân trong Cơ sở dữ liệu quốc gia về dân cư;”.</w:t>
      </w:r>
    </w:p>
    <w:p w14:paraId="7F85C9F8"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Sửa đổi, bổ sung điểm b khoản 3 Điều 9 như sau:</w:t>
      </w:r>
    </w:p>
    <w:p w14:paraId="4AA238D0"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Người nộp thuế cung cấp thông tin về số định danh cá nhân hoặc xuất trình giấy thông hành biên giới hoặc xuất trình thẻ Căn cước công dân.”.</w:t>
      </w:r>
    </w:p>
    <w:p w14:paraId="4C6A5802"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11. Sửa đổi, bổ sung điểm e khoản 2 Điều 21 Nghị định số 43/2014/NĐ-CP ngày 15 tháng 5 năm 2014 quy định chi tiết thi hành một số điều của Luật Đất đai</w:t>
      </w:r>
    </w:p>
    <w:p w14:paraId="26BF136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Sửa đổi, bổ sung điểm e khoản 2 Điều 21 như sau:</w:t>
      </w:r>
    </w:p>
    <w:p w14:paraId="0B58259F"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“e) Thẻ Căn cước công dân hoặc Chứng minh nhân dân hoặc giấy khai sinh; giấy tờ nộp tiền điện, nước và các khoản nộp khác có ghi địa chỉ nhà ở tại thửa đất đăng ký. Trường hợp không khai thác được thông tin về cư trú trong Cơ sở dữ liệu quốc gia về dân cư thì bổ sung Giấy xác nhận thông tin về cư trú.”.</w:t>
      </w:r>
    </w:p>
    <w:p w14:paraId="4FA7F803"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12. Sửa đổi, bổ sung điểm a, điểm b khoản 2 Điều 24 Nghị định số 19/2011/NĐ-CP ngày 21 tháng 3 năm 2011 quy định chi tiết một số điều của Luật Nuôi con nuôi</w:t>
      </w:r>
    </w:p>
    <w:p w14:paraId="79E26E3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Sửa đổi, bổ sung điểm a, điểm b khoản 2 Điều 24 như sau:</w:t>
      </w:r>
    </w:p>
    <w:p w14:paraId="7EAB4018"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“a) Bản sao của một trong các giấy tờ sau: Thẻ Căn cước công dân, Chứng minh nhân dân, Giấy xác nhận thông tin về cư trú, Giấy thông báo số định danh cá nhân và thông tin công dân trong Cơ sở dữ liệu quốc gia về dân cư của người nhận con nuôi;</w:t>
      </w:r>
    </w:p>
    <w:p w14:paraId="0AC6CC56"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Bản sao của một trong các giấy tờ sau: Giấy khai sinh, thẻ Căn cước công dân, Chứng minh nhân dân, Giấy xác nhận thông tin về cư trú, Giấy thông báo số định danh cá nhân và thông tin công dân trong Cơ sở dữ liệu quốc gia về dân cư của người được nhận làm con nuôi;”.</w:t>
      </w:r>
    </w:p>
    <w:p w14:paraId="0799BD36"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13. Bãi bỏ, thay thế một số cụm từ quy định tại các nghị định</w:t>
      </w:r>
    </w:p>
    <w:p w14:paraId="2FFC7C69"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Bãi bỏ cụm từ “Sổ hộ khẩu” tại điểm a khoản 1 Điều 1 Nghị định số 150/2018/NĐ-CP ngày 07 tháng 11 năm 2018 sửa đổi một số nghị định liên quan đến điều kiện đầu tư kinh doanh và thủ tục hành chính trong lĩnh vực thông tin và truyền thông.</w:t>
      </w:r>
    </w:p>
    <w:p w14:paraId="043DA00A"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Bãi bỏ cụm từ “trong giai đoạn chuyển tiếp, người yêu cầu đăng ký hộ tịch phải xuất trình giấy tờ chứng minh nơi cư trú” tại khoản 1 Điều 2 Nghị định số 123/2015/NĐ-CP ngày 15 tháng 11 năm 2015 quy định chi tiết một số điều và biện pháp thi hành Luật Hộ tịch.</w:t>
      </w:r>
    </w:p>
    <w:p w14:paraId="4B31559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3. Bãi bỏ cụm từ “Số sổ hộ khẩu (đối với thành viên là hộ gia đình)” và cụm từ “sổ hộ khẩu (đối với thành viên là hộ gia đình)” tại điểm g khoản 3 Điều 15 Nghị định số 45/2021/NĐ-CP ngày 31 tháng 3 năm 2021 về thành lập, tổ chức và hoạt động của Quỹ hỗ trợ phát triển hợp tác xã.</w:t>
      </w:r>
    </w:p>
    <w:p w14:paraId="3EAD0694"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4. Bãi bỏ cụm từ “hoặc sổ hộ khẩu đã được cấp trước ngày 01 tháng 7 năm 2021” tại điểm b khoản 1 Điều 116 và cụm từ “hoặc sổ hộ khẩu đã được cấp trước ngày 01 tháng 7 năm 2021” tại khoản 3 Điều 130 Nghị định số 131/2021/NĐ-CP ngày 30 tháng 12 năm 2021 hướng dẫn Pháp lệnh Ưu đãi người có công với cách mạng.</w:t>
      </w:r>
    </w:p>
    <w:p w14:paraId="0EE22041"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lastRenderedPageBreak/>
        <w:t>5. Bãi bỏ cụm từ “sổ hộ khẩu” tại điểm b khoản 2 Điều 15 Nghị định số 11/2021/NĐ-CP ngày 10 tháng 02 năm 2021 quy định việc giao các khu vực biến nhất định cho tổ chức, cá nhân khai thác, sử dụng tài nguyên biển.</w:t>
      </w:r>
    </w:p>
    <w:p w14:paraId="13FC11D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6. Thay thế cụm từ “Sổ hộ khẩu của đối tượng hoặc văn bản xác nhận của Công an xã, phường, thị trấn” tại điểm a khoản 1 Điều 8 Nghị định số 20/2021/NĐ-CP ngày 15 tháng 3 năm 2021 quy định về chính sách trợ giúp xã hội đối với đối tượng bảo trợ xã hội thành “Giấy xác nhận thông tin về cư trú hoặc Giấy thông báo số định danh cá nhân và thông tin công dân trong Cơ sở dữ liệu quốc gia về dân cư”.</w:t>
      </w:r>
    </w:p>
    <w:p w14:paraId="48452FBC"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7. Thay thế cụm từ “sổ hộ khẩu” tại Mẫu số 01 và Mẫu số 02 Nghị định số 57/2017/NĐ-CP ngày 09 tháng 5 năm 2017 quy định chính sách ưu tiên tuyển sinh và hỗ trợ học tập đối với trẻ mẫu giáo, học sinh, sinh viên dân tộc thiểu số ít người bằng cụm từ “thẻ Căn cước công dân, Chứng minh nhân dân, Giấy xác nhận thông tin về cư trú, Giấy thông báo số định danh cá nhân và thông tin công dân trong Cơ sở dữ liệu quốc gia về dân cư”.</w:t>
      </w:r>
    </w:p>
    <w:p w14:paraId="214515D7"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14. Khai thác, sử dụng thông tin về cư trú để giải quyết thủ tục hành chính, cung cấp dịch vụ công</w:t>
      </w:r>
    </w:p>
    <w:p w14:paraId="7263AB13"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Cơ quan có thẩm quyền, cán bộ, công chức, viên chức, cá nhân được giao trách nhiệm tiếp nhận, giải quyết thủ tục hành chính, cung cấp dịch vụ công phải khai thác, sử dụng thông tin về cư trú của công dân trong Cơ sở dữ liệu quốc gia về dân cư để giải quyết thủ tục hành chính, cung cấp dịch vụ công.</w:t>
      </w:r>
    </w:p>
    <w:p w14:paraId="74A6ED2A"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2. Thông tin về cư trú của công dân tại thời điểm làm thủ tục hành chính được cán bộ, công chức, viên chức, cá nhân có trách nhiệm tiếp nhận, giải quyết thủ tục hành chính ghi nhận và lưu giữ trong hồ sơ thủ tục hành chính trên Hệ thống thông tin giải quyết thủ tục hành chính cấp bộ, cấp tỉnh.</w:t>
      </w:r>
    </w:p>
    <w:p w14:paraId="42E54870"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Việc khai thác, sử dụng thông tin về cư trú của công dân trong Cơ sở dữ liệu quốc gia về dân cư được thực hiện bằng một trong các phương thức sau:</w:t>
      </w:r>
    </w:p>
    <w:p w14:paraId="7118C4FB"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a) Tra cứu, khai thác thông tin cá nhân qua chức năng của Hệ thống thông tin giải quyết thủ tục hành chính cấp bộ, cấp tỉnh đã được kết nối với Cơ sở dữ liệu quốc gia về dân cư hoặc qua cống dịch vụ công quốc gia;</w:t>
      </w:r>
    </w:p>
    <w:p w14:paraId="5E49B849"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b) Tra cứu thông tin cá nhân thông qua tài khoản định danh điện tử của công dân được hiển thị trong ứng dụng VNelD;</w:t>
      </w:r>
    </w:p>
    <w:p w14:paraId="4D2F9FF6"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c) Sử dụng thiết bị đầu đọc đã được kết nối trực tuyến với Cơ sở dữ liệu quốc gia về dân cư, bao gồm thiết bị đọc mã QRCode hoặc thiết bị đọc chip trên thẻ Căn cước công dân gắn chip;</w:t>
      </w:r>
    </w:p>
    <w:p w14:paraId="3718793C"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d) Các phương thức khai thác khác theo quy định của pháp luật chuyên ngành.</w:t>
      </w:r>
    </w:p>
    <w:p w14:paraId="40EFB69B"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3. Trường hợp không thể khai thác được thông tin cư trú của công dân theo các phương thức nêu tại khoản 2 Điều này, cơ quan có thẩm quyền, cán bộ, công chức, viên chức, cá nhân được giao trách nhiệm tiếp nhận, giải quyết thủ tục hành chính, cung cấp dịch vụ công có thể yêu cầu công dân nộp bản sao hoặc xuất trình một trong các giấy tờ có giá trị chứng minh thông tin về cư trú.</w:t>
      </w:r>
    </w:p>
    <w:p w14:paraId="473D40E9"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Việc yêu cầu công dân nộp bản sao hoặc xuất trình giấy tờ có giá trị chứng minh thông tin về cư trú được nêu cụ thể trong quyết định công bố thủ tục hành chính của bộ, cơ quan, địa phương hoặc các văn bản thông báo dịch vụ của cơ quan, tổ chức cung cấp dịch vụ.</w:t>
      </w:r>
    </w:p>
    <w:p w14:paraId="13EFF401"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4. Các loại giấy tờ có giá trị chứng minh thông tin về cư trú bao gồm: Thẻ Căn cước công dân, Chứng minh nhân dân, Giấy xác nhận thông tin về cư trú, Giấy thông báo số định danh cá nhân và thông tin công dân trong Cơ sở dữ liệu quốc gia về dân cư.</w:t>
      </w:r>
    </w:p>
    <w:p w14:paraId="7770772B"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b/>
          <w:bCs/>
          <w:color w:val="222222"/>
          <w:sz w:val="20"/>
          <w:szCs w:val="20"/>
          <w:shd w:val="clear" w:color="auto" w:fill="FFFFFF"/>
        </w:rPr>
        <w:t>Điều 15. Trách nhiệm thực hiện và điều khoản thi hành</w:t>
      </w:r>
    </w:p>
    <w:p w14:paraId="30989E4A"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1. Bộ trưởng, Thủ trưởng cơ quan ngang bộ, Thủ trưởng cơ quan thuộc Chính phủ, Chủ tịch Ủy ban nhân dân các tỉnh, thành phố trực thuộc trung ương chịu trách nhiệm thi hành Nghị định này và thực hiện công bố thủ tục hành chính theo quy định thuộc phạm vi chức năng quản lý của mình.</w:t>
      </w:r>
    </w:p>
    <w:p w14:paraId="69FD457C"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lastRenderedPageBreak/>
        <w:t>2. Nghị định này có hiệu lực thi hành từ ngày 01 tháng 01 năm 2023.</w:t>
      </w:r>
    </w:p>
    <w:p w14:paraId="345FA6A0" w14:textId="77777777" w:rsidR="006216AB" w:rsidRPr="006216AB" w:rsidRDefault="006216AB" w:rsidP="006216AB">
      <w:pPr>
        <w:spacing w:before="180" w:after="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 w:val="20"/>
          <w:szCs w:val="20"/>
          <w:shd w:val="clear" w:color="auto" w:fill="FFFFFF"/>
        </w:rPr>
        <w:t>3. Kể từ ngày Nghị định này có hiệu lực, các thủ tục hành chính, dịch vụ công có yêu cầu nộp, xuất trình sổ hộ khẩu, sổ tạm trú giấy được thay thế bằng việc khai thác, sử dụng thông tin về cư trú theo quy định tại Điều 14 Nghị định này.</w:t>
      </w:r>
    </w:p>
    <w:p w14:paraId="54881646" w14:textId="77777777" w:rsidR="006216AB" w:rsidRPr="006216AB" w:rsidRDefault="006216AB" w:rsidP="006216AB">
      <w:pPr>
        <w:spacing w:before="180" w:after="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Cs w:val="26"/>
        </w:rPr>
        <w:t> </w:t>
      </w:r>
    </w:p>
    <w:tbl>
      <w:tblPr>
        <w:tblW w:w="12120" w:type="dxa"/>
        <w:jc w:val="center"/>
        <w:tblCellMar>
          <w:left w:w="0" w:type="dxa"/>
          <w:right w:w="0" w:type="dxa"/>
        </w:tblCellMar>
        <w:tblLook w:val="04A0" w:firstRow="1" w:lastRow="0" w:firstColumn="1" w:lastColumn="0" w:noHBand="0" w:noVBand="1"/>
      </w:tblPr>
      <w:tblGrid>
        <w:gridCol w:w="7381"/>
        <w:gridCol w:w="4739"/>
      </w:tblGrid>
      <w:tr w:rsidR="006216AB" w:rsidRPr="006216AB" w14:paraId="59220EF3" w14:textId="77777777" w:rsidTr="006216AB">
        <w:trPr>
          <w:trHeight w:val="915"/>
          <w:jc w:val="center"/>
        </w:trPr>
        <w:tc>
          <w:tcPr>
            <w:tcW w:w="5490" w:type="dxa"/>
            <w:shd w:val="clear" w:color="auto" w:fill="FFFFFF"/>
            <w:tcMar>
              <w:top w:w="0" w:type="dxa"/>
              <w:left w:w="108" w:type="dxa"/>
              <w:bottom w:w="0" w:type="dxa"/>
              <w:right w:w="108" w:type="dxa"/>
            </w:tcMar>
            <w:hideMark/>
          </w:tcPr>
          <w:p w14:paraId="03CB6695"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b/>
                <w:bCs/>
                <w:i/>
                <w:iCs/>
                <w:sz w:val="20"/>
                <w:szCs w:val="20"/>
                <w:shd w:val="clear" w:color="auto" w:fill="FFFFFF"/>
              </w:rPr>
              <w:t>Nơi nhận:</w:t>
            </w:r>
          </w:p>
          <w:p w14:paraId="2D2B0BDE"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Ban Bí thư Trung ương Đảng;</w:t>
            </w:r>
          </w:p>
          <w:p w14:paraId="6772FDCA"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Thủ tướng, các Phó Thủ tướng Chính phủ;</w:t>
            </w:r>
          </w:p>
          <w:p w14:paraId="417F2CC9"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Các bộ, cơ quan ngang bộ, cơ quan thuộc Chính phủ;</w:t>
            </w:r>
          </w:p>
          <w:p w14:paraId="46E60545"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HĐND, UBND các tỉnh, thành phố trực thuộc trung ương;</w:t>
            </w:r>
          </w:p>
          <w:p w14:paraId="0164F147"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w:t>
            </w:r>
            <w:r w:rsidRPr="006216AB">
              <w:rPr>
                <w:rFonts w:eastAsia="Times New Roman" w:cs="Times New Roman"/>
                <w:color w:val="222222"/>
                <w:szCs w:val="26"/>
              </w:rPr>
              <w:t> </w:t>
            </w:r>
            <w:r w:rsidRPr="006216AB">
              <w:rPr>
                <w:rFonts w:ascii="Arial" w:eastAsia="Times New Roman" w:hAnsi="Arial" w:cs="Arial"/>
                <w:sz w:val="20"/>
                <w:szCs w:val="20"/>
                <w:shd w:val="clear" w:color="auto" w:fill="FFFFFF"/>
              </w:rPr>
              <w:t>Văn phòng Trung ương và các Ban của Đảng;</w:t>
            </w:r>
          </w:p>
          <w:p w14:paraId="1888CFAB"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w:t>
            </w:r>
            <w:r w:rsidRPr="006216AB">
              <w:rPr>
                <w:rFonts w:eastAsia="Times New Roman" w:cs="Times New Roman"/>
                <w:color w:val="222222"/>
                <w:szCs w:val="26"/>
              </w:rPr>
              <w:t> </w:t>
            </w:r>
            <w:r w:rsidRPr="006216AB">
              <w:rPr>
                <w:rFonts w:ascii="Arial" w:eastAsia="Times New Roman" w:hAnsi="Arial" w:cs="Arial"/>
                <w:sz w:val="20"/>
                <w:szCs w:val="20"/>
                <w:shd w:val="clear" w:color="auto" w:fill="FFFFFF"/>
              </w:rPr>
              <w:t>Văn phòng Tổng Bí thư;</w:t>
            </w:r>
          </w:p>
          <w:p w14:paraId="5393804E"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w:t>
            </w:r>
            <w:r w:rsidRPr="006216AB">
              <w:rPr>
                <w:rFonts w:eastAsia="Times New Roman" w:cs="Times New Roman"/>
                <w:color w:val="222222"/>
                <w:szCs w:val="26"/>
              </w:rPr>
              <w:t> </w:t>
            </w:r>
            <w:r w:rsidRPr="006216AB">
              <w:rPr>
                <w:rFonts w:ascii="Arial" w:eastAsia="Times New Roman" w:hAnsi="Arial" w:cs="Arial"/>
                <w:sz w:val="20"/>
                <w:szCs w:val="20"/>
                <w:shd w:val="clear" w:color="auto" w:fill="FFFFFF"/>
              </w:rPr>
              <w:t>Văn phòng Chủ tịch nước;</w:t>
            </w:r>
          </w:p>
          <w:p w14:paraId="5CAE039E"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Hội đồng Dân tộc và các Ủy ban của Quốc hội;</w:t>
            </w:r>
          </w:p>
          <w:p w14:paraId="1ACDAD4D"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Văn phòng Quốc hội;</w:t>
            </w:r>
          </w:p>
          <w:p w14:paraId="5F7E21D6"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Tòa án nhân dân tối cao;</w:t>
            </w:r>
          </w:p>
          <w:p w14:paraId="04E4F7CC"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Viện kiểm sát nhân dân tối cao;</w:t>
            </w:r>
          </w:p>
          <w:p w14:paraId="5F02F38C"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Kiểm toán nhà nước;</w:t>
            </w:r>
          </w:p>
          <w:p w14:paraId="0F4622AC"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Ủy ban Giám sát tài chính Quốc gia;</w:t>
            </w:r>
          </w:p>
          <w:p w14:paraId="10ACC7AD"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Ngân hàng Chính sách xã hội;</w:t>
            </w:r>
          </w:p>
          <w:p w14:paraId="4F74EB3F"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Ngân hàng Phát triển Việt Nam;</w:t>
            </w:r>
          </w:p>
          <w:p w14:paraId="5371C0F4"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Ủy ban trung ương Mặt trận Tổ quốc Việt Nam;</w:t>
            </w:r>
          </w:p>
          <w:p w14:paraId="4E042E27"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Cơ quan trung ương của các đoàn thể;</w:t>
            </w:r>
          </w:p>
          <w:p w14:paraId="116B5C06"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VPCP: BTCN, các PCN, Trợ lý TTg, TGĐ Cổng TTĐT,</w:t>
            </w:r>
            <w:r w:rsidRPr="006216AB">
              <w:rPr>
                <w:rFonts w:eastAsia="Times New Roman" w:cs="Times New Roman"/>
                <w:color w:val="222222"/>
                <w:szCs w:val="26"/>
              </w:rPr>
              <w:t> </w:t>
            </w:r>
            <w:r w:rsidRPr="006216AB">
              <w:rPr>
                <w:rFonts w:ascii="Arial" w:eastAsia="Times New Roman" w:hAnsi="Arial" w:cs="Arial"/>
                <w:sz w:val="20"/>
                <w:szCs w:val="20"/>
                <w:shd w:val="clear" w:color="auto" w:fill="FFFFFF"/>
              </w:rPr>
              <w:t>các Vụ, Cục, đơn vị trực thuộc, Công báo;</w:t>
            </w:r>
          </w:p>
          <w:p w14:paraId="5EB5FB17" w14:textId="77777777" w:rsidR="006216AB" w:rsidRPr="006216AB" w:rsidRDefault="006216AB" w:rsidP="006216AB">
            <w:pPr>
              <w:spacing w:before="180" w:after="180" w:line="240" w:lineRule="auto"/>
              <w:rPr>
                <w:rFonts w:eastAsia="Times New Roman" w:cs="Times New Roman"/>
                <w:color w:val="222222"/>
                <w:szCs w:val="26"/>
              </w:rPr>
            </w:pPr>
            <w:r w:rsidRPr="006216AB">
              <w:rPr>
                <w:rFonts w:ascii="Arial" w:eastAsia="Times New Roman" w:hAnsi="Arial" w:cs="Arial"/>
                <w:sz w:val="20"/>
                <w:szCs w:val="20"/>
                <w:shd w:val="clear" w:color="auto" w:fill="FFFFFF"/>
              </w:rPr>
              <w:t>- Lưu: VT, KSTT (2b). TM</w:t>
            </w:r>
          </w:p>
        </w:tc>
        <w:tc>
          <w:tcPr>
            <w:tcW w:w="3525" w:type="dxa"/>
            <w:shd w:val="clear" w:color="auto" w:fill="FFFFFF"/>
            <w:tcMar>
              <w:top w:w="0" w:type="dxa"/>
              <w:left w:w="108" w:type="dxa"/>
              <w:bottom w:w="0" w:type="dxa"/>
              <w:right w:w="108" w:type="dxa"/>
            </w:tcMar>
            <w:hideMark/>
          </w:tcPr>
          <w:p w14:paraId="066E81F1"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ascii="Arial" w:eastAsia="Times New Roman" w:hAnsi="Arial" w:cs="Arial"/>
                <w:b/>
                <w:bCs/>
                <w:color w:val="222222"/>
                <w:sz w:val="20"/>
                <w:szCs w:val="20"/>
                <w:shd w:val="clear" w:color="auto" w:fill="FFFFFF"/>
              </w:rPr>
              <w:t>TM. CHÍNH PHỦ</w:t>
            </w:r>
          </w:p>
          <w:p w14:paraId="587BB332"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ascii="Arial" w:eastAsia="Times New Roman" w:hAnsi="Arial" w:cs="Arial"/>
                <w:b/>
                <w:bCs/>
                <w:sz w:val="20"/>
                <w:szCs w:val="20"/>
                <w:shd w:val="clear" w:color="auto" w:fill="FFFFFF"/>
              </w:rPr>
              <w:t>KT. THỦ TƯỚNG</w:t>
            </w:r>
          </w:p>
          <w:p w14:paraId="1C966B4B"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ascii="Arial" w:eastAsia="Times New Roman" w:hAnsi="Arial" w:cs="Arial"/>
                <w:b/>
                <w:bCs/>
                <w:sz w:val="20"/>
                <w:szCs w:val="20"/>
                <w:shd w:val="clear" w:color="auto" w:fill="FFFFFF"/>
              </w:rPr>
              <w:t>PHÓ THỦ TƯỚNG</w:t>
            </w:r>
          </w:p>
          <w:p w14:paraId="519EE5D3"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eastAsia="Times New Roman" w:cs="Times New Roman"/>
                <w:color w:val="222222"/>
                <w:szCs w:val="26"/>
              </w:rPr>
              <w:t> </w:t>
            </w:r>
          </w:p>
          <w:p w14:paraId="57E3B7BA"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eastAsia="Times New Roman" w:cs="Times New Roman"/>
                <w:color w:val="222222"/>
                <w:szCs w:val="26"/>
              </w:rPr>
              <w:t> </w:t>
            </w:r>
          </w:p>
          <w:p w14:paraId="560C3FDF"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eastAsia="Times New Roman" w:cs="Times New Roman"/>
                <w:color w:val="222222"/>
                <w:szCs w:val="26"/>
              </w:rPr>
              <w:t> </w:t>
            </w:r>
          </w:p>
          <w:p w14:paraId="2EFB3E08"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eastAsia="Times New Roman" w:cs="Times New Roman"/>
                <w:color w:val="222222"/>
                <w:szCs w:val="26"/>
              </w:rPr>
              <w:t> </w:t>
            </w:r>
          </w:p>
          <w:p w14:paraId="77878195"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eastAsia="Times New Roman" w:cs="Times New Roman"/>
                <w:color w:val="222222"/>
                <w:szCs w:val="26"/>
              </w:rPr>
              <w:t> </w:t>
            </w:r>
          </w:p>
          <w:p w14:paraId="248338AD" w14:textId="77777777" w:rsidR="006216AB" w:rsidRPr="006216AB" w:rsidRDefault="006216AB" w:rsidP="006216AB">
            <w:pPr>
              <w:spacing w:before="180" w:after="180" w:line="240" w:lineRule="auto"/>
              <w:jc w:val="center"/>
              <w:rPr>
                <w:rFonts w:eastAsia="Times New Roman" w:cs="Times New Roman"/>
                <w:color w:val="222222"/>
                <w:szCs w:val="26"/>
              </w:rPr>
            </w:pPr>
            <w:r w:rsidRPr="006216AB">
              <w:rPr>
                <w:rFonts w:ascii="Arial" w:eastAsia="Times New Roman" w:hAnsi="Arial" w:cs="Arial"/>
                <w:b/>
                <w:bCs/>
                <w:sz w:val="20"/>
                <w:szCs w:val="20"/>
                <w:shd w:val="clear" w:color="auto" w:fill="FFFFFF"/>
              </w:rPr>
              <w:t>Vũ Đức Đam</w:t>
            </w:r>
          </w:p>
        </w:tc>
      </w:tr>
    </w:tbl>
    <w:p w14:paraId="0AA472C5" w14:textId="77777777" w:rsidR="006216AB" w:rsidRPr="006216AB" w:rsidRDefault="006216AB" w:rsidP="006216AB">
      <w:pPr>
        <w:spacing w:after="0" w:line="240" w:lineRule="auto"/>
        <w:rPr>
          <w:rFonts w:ascii="Arial" w:eastAsia="Times New Roman" w:hAnsi="Arial" w:cs="Arial"/>
          <w:color w:val="2E2E2E"/>
          <w:szCs w:val="26"/>
        </w:rPr>
      </w:pPr>
      <w:r w:rsidRPr="006216AB">
        <w:rPr>
          <w:rFonts w:ascii="Arial" w:eastAsia="Times New Roman" w:hAnsi="Arial" w:cs="Arial"/>
          <w:color w:val="2E2E2E"/>
          <w:szCs w:val="26"/>
        </w:rPr>
        <w:t> </w:t>
      </w:r>
    </w:p>
    <w:p w14:paraId="61D3B805"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Cs w:val="26"/>
        </w:rPr>
        <w:t> </w:t>
      </w:r>
    </w:p>
    <w:p w14:paraId="12478A76" w14:textId="77777777" w:rsidR="006216AB" w:rsidRPr="006216AB" w:rsidRDefault="006216AB" w:rsidP="006216AB">
      <w:pPr>
        <w:spacing w:before="180" w:after="120" w:line="240" w:lineRule="auto"/>
        <w:ind w:firstLine="720"/>
        <w:jc w:val="both"/>
        <w:rPr>
          <w:rFonts w:ascii="Arial" w:eastAsia="Times New Roman" w:hAnsi="Arial" w:cs="Arial"/>
          <w:color w:val="222222"/>
          <w:szCs w:val="26"/>
        </w:rPr>
      </w:pPr>
      <w:r w:rsidRPr="006216AB">
        <w:rPr>
          <w:rFonts w:ascii="Arial" w:eastAsia="Times New Roman" w:hAnsi="Arial" w:cs="Arial"/>
          <w:color w:val="222222"/>
          <w:szCs w:val="26"/>
        </w:rPr>
        <w:t> </w:t>
      </w:r>
    </w:p>
    <w:p w14:paraId="5D9780E5" w14:textId="77777777" w:rsidR="006216AB" w:rsidRPr="006216AB" w:rsidRDefault="006216AB" w:rsidP="006216AB">
      <w:pPr>
        <w:spacing w:after="0" w:line="240" w:lineRule="auto"/>
        <w:rPr>
          <w:rFonts w:eastAsia="Times New Roman" w:cs="Times New Roman"/>
          <w:sz w:val="24"/>
          <w:szCs w:val="24"/>
        </w:rPr>
      </w:pPr>
      <w:r w:rsidRPr="006216AB">
        <w:rPr>
          <w:rFonts w:ascii="Arial" w:eastAsia="Times New Roman" w:hAnsi="Arial" w:cs="Arial"/>
          <w:color w:val="2E2E2E"/>
          <w:szCs w:val="26"/>
        </w:rPr>
        <w:t> </w:t>
      </w:r>
    </w:p>
    <w:sectPr w:rsidR="006216AB" w:rsidRPr="0062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AB"/>
    <w:rsid w:val="003879C0"/>
    <w:rsid w:val="006216AB"/>
    <w:rsid w:val="00D6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0D20"/>
  <w15:chartTrackingRefBased/>
  <w15:docId w15:val="{0A0DFE1B-A44C-42F0-8503-F21499F9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6A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216AB"/>
    <w:rPr>
      <w:b/>
      <w:bCs/>
    </w:rPr>
  </w:style>
  <w:style w:type="character" w:styleId="Emphasis">
    <w:name w:val="Emphasis"/>
    <w:basedOn w:val="DefaultParagraphFont"/>
    <w:uiPriority w:val="20"/>
    <w:qFormat/>
    <w:rsid w:val="00621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67531">
      <w:bodyDiv w:val="1"/>
      <w:marLeft w:val="0"/>
      <w:marRight w:val="0"/>
      <w:marTop w:val="0"/>
      <w:marBottom w:val="0"/>
      <w:divBdr>
        <w:top w:val="none" w:sz="0" w:space="0" w:color="auto"/>
        <w:left w:val="none" w:sz="0" w:space="0" w:color="auto"/>
        <w:bottom w:val="none" w:sz="0" w:space="0" w:color="auto"/>
        <w:right w:val="none" w:sz="0" w:space="0" w:color="auto"/>
      </w:divBdr>
      <w:divsChild>
        <w:div w:id="27612261">
          <w:marLeft w:val="0"/>
          <w:marRight w:val="0"/>
          <w:marTop w:val="0"/>
          <w:marBottom w:val="0"/>
          <w:divBdr>
            <w:top w:val="none" w:sz="0" w:space="0" w:color="auto"/>
            <w:left w:val="none" w:sz="0" w:space="0" w:color="auto"/>
            <w:bottom w:val="none" w:sz="0" w:space="0" w:color="auto"/>
            <w:right w:val="none" w:sz="0" w:space="0" w:color="auto"/>
          </w:divBdr>
          <w:divsChild>
            <w:div w:id="1491553390">
              <w:marLeft w:val="0"/>
              <w:marRight w:val="0"/>
              <w:marTop w:val="0"/>
              <w:marBottom w:val="0"/>
              <w:divBdr>
                <w:top w:val="none" w:sz="0" w:space="0" w:color="auto"/>
                <w:left w:val="none" w:sz="0" w:space="0" w:color="auto"/>
                <w:bottom w:val="none" w:sz="0" w:space="0" w:color="auto"/>
                <w:right w:val="none" w:sz="0" w:space="0" w:color="auto"/>
              </w:divBdr>
            </w:div>
            <w:div w:id="1314484976">
              <w:marLeft w:val="0"/>
              <w:marRight w:val="0"/>
              <w:marTop w:val="0"/>
              <w:marBottom w:val="0"/>
              <w:divBdr>
                <w:top w:val="none" w:sz="0" w:space="0" w:color="auto"/>
                <w:left w:val="none" w:sz="0" w:space="0" w:color="auto"/>
                <w:bottom w:val="none" w:sz="0" w:space="0" w:color="auto"/>
                <w:right w:val="none" w:sz="0" w:space="0" w:color="auto"/>
              </w:divBdr>
            </w:div>
          </w:divsChild>
        </w:div>
        <w:div w:id="308705892">
          <w:marLeft w:val="0"/>
          <w:marRight w:val="0"/>
          <w:marTop w:val="0"/>
          <w:marBottom w:val="0"/>
          <w:divBdr>
            <w:top w:val="none" w:sz="0" w:space="0" w:color="auto"/>
            <w:left w:val="none" w:sz="0" w:space="0" w:color="auto"/>
            <w:bottom w:val="none" w:sz="0" w:space="0" w:color="auto"/>
            <w:right w:val="none" w:sz="0" w:space="0" w:color="auto"/>
          </w:divBdr>
        </w:div>
        <w:div w:id="31348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2960</Words>
  <Characters>16878</Characters>
  <Application>Microsoft Office Word</Application>
  <DocSecurity>0</DocSecurity>
  <Lines>140</Lines>
  <Paragraphs>39</Paragraphs>
  <ScaleCrop>false</ScaleCrop>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Diem My</dc:creator>
  <cp:keywords/>
  <dc:description/>
  <cp:lastModifiedBy>Nguyen Thi Diem My</cp:lastModifiedBy>
  <cp:revision>2</cp:revision>
  <dcterms:created xsi:type="dcterms:W3CDTF">2022-12-22T14:38:00Z</dcterms:created>
  <dcterms:modified xsi:type="dcterms:W3CDTF">2022-12-22T14:39:00Z</dcterms:modified>
</cp:coreProperties>
</file>